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30" w:rsidRPr="00AF3DC3" w:rsidRDefault="00964130" w:rsidP="007D78ED">
      <w:pPr>
        <w:pStyle w:val="Rubrik"/>
        <w:rPr>
          <w:sz w:val="24"/>
          <w:szCs w:val="24"/>
        </w:rPr>
      </w:pPr>
      <w:r w:rsidRPr="00AF3DC3">
        <w:rPr>
          <w:sz w:val="24"/>
          <w:szCs w:val="24"/>
        </w:rPr>
        <w:t>Gel Documentation Form and Worksheet</w:t>
      </w:r>
    </w:p>
    <w:p w:rsidR="002258C5" w:rsidRPr="00450478" w:rsidRDefault="002258C5" w:rsidP="00ED2851">
      <w:pPr>
        <w:pStyle w:val="Rubrik"/>
        <w:tabs>
          <w:tab w:val="clear" w:pos="4253"/>
          <w:tab w:val="center" w:pos="5954"/>
          <w:tab w:val="right" w:pos="11340"/>
        </w:tabs>
        <w:jc w:val="both"/>
        <w:rPr>
          <w:rFonts w:cs="Arial"/>
          <w:i/>
          <w:sz w:val="22"/>
        </w:rPr>
      </w:pPr>
    </w:p>
    <w:p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 xml:space="preserve">DQ-DR </w:t>
      </w:r>
      <w:proofErr w:type="spellStart"/>
      <w:r>
        <w:rPr>
          <w:rFonts w:cs="Arial"/>
          <w:sz w:val="20"/>
        </w:rPr>
        <w:t>Combi</w:t>
      </w:r>
      <w:proofErr w:type="spellEnd"/>
      <w:r>
        <w:rPr>
          <w:rFonts w:cs="Arial"/>
          <w:sz w:val="20"/>
        </w:rPr>
        <w:t xml:space="preserve">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F5608B">
        <w:rPr>
          <w:rFonts w:cs="Arial"/>
          <w:sz w:val="20"/>
        </w:rPr>
        <w:t>1E8</w:t>
      </w:r>
      <w:r w:rsidR="00BD04A7">
        <w:rPr>
          <w:rFonts w:cs="Arial"/>
          <w:sz w:val="20"/>
        </w:rPr>
        <w:tab/>
        <w:t xml:space="preserve">Expiry Date: </w:t>
      </w:r>
      <w:r w:rsidR="00E05DEF" w:rsidRPr="00703B29">
        <w:rPr>
          <w:rFonts w:cs="Arial"/>
          <w:sz w:val="20"/>
        </w:rPr>
        <w:t>20</w:t>
      </w:r>
      <w:r w:rsidR="00260338" w:rsidRPr="00703B29">
        <w:rPr>
          <w:rFonts w:cs="Arial"/>
          <w:sz w:val="20"/>
        </w:rPr>
        <w:t>1</w:t>
      </w:r>
      <w:r w:rsidR="006D4950">
        <w:rPr>
          <w:rFonts w:cs="Arial"/>
          <w:sz w:val="20"/>
        </w:rPr>
        <w:t>9</w:t>
      </w:r>
      <w:r w:rsidR="00260338" w:rsidRPr="00703B29">
        <w:rPr>
          <w:rFonts w:cs="Arial"/>
          <w:sz w:val="20"/>
        </w:rPr>
        <w:t>-</w:t>
      </w:r>
      <w:r w:rsidR="006D4950">
        <w:rPr>
          <w:rFonts w:cs="Arial"/>
          <w:sz w:val="20"/>
        </w:rPr>
        <w:t>03</w:t>
      </w:r>
      <w:r w:rsidR="00260338" w:rsidRPr="00703B29">
        <w:rPr>
          <w:rFonts w:cs="Arial"/>
          <w:sz w:val="20"/>
        </w:rPr>
        <w:t>-01</w:t>
      </w:r>
    </w:p>
    <w:p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Name</w:t>
      </w:r>
      <w:proofErr w:type="gramStart"/>
      <w:r w:rsidRPr="001C202F">
        <w:rPr>
          <w:rFonts w:cs="Arial"/>
          <w:b w:val="0"/>
          <w:sz w:val="18"/>
          <w:szCs w:val="18"/>
        </w:rPr>
        <w:t>:_</w:t>
      </w:r>
      <w:proofErr w:type="gramEnd"/>
      <w:r w:rsidRPr="001C202F">
        <w:rPr>
          <w:rFonts w:cs="Arial"/>
          <w:b w:val="0"/>
          <w:sz w:val="18"/>
          <w:szCs w:val="18"/>
        </w:rPr>
        <w:t>_______________</w:t>
      </w:r>
    </w:p>
    <w:p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Sample ID</w:t>
      </w:r>
      <w:proofErr w:type="gramStart"/>
      <w:r w:rsidRPr="001C202F">
        <w:rPr>
          <w:rFonts w:cs="Arial"/>
          <w:b w:val="0"/>
          <w:sz w:val="18"/>
          <w:szCs w:val="18"/>
        </w:rPr>
        <w:t>:_</w:t>
      </w:r>
      <w:proofErr w:type="gramEnd"/>
      <w:r w:rsidRPr="001C202F">
        <w:rPr>
          <w:rFonts w:cs="Arial"/>
          <w:b w:val="0"/>
          <w:sz w:val="18"/>
          <w:szCs w:val="18"/>
        </w:rPr>
        <w:t xml:space="preserve">______________ </w:t>
      </w:r>
    </w:p>
    <w:p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w:t>
      </w:r>
      <w:proofErr w:type="gramStart"/>
      <w:r w:rsidRPr="001C202F">
        <w:rPr>
          <w:rFonts w:cs="Arial"/>
          <w:b w:val="0"/>
          <w:sz w:val="18"/>
          <w:szCs w:val="18"/>
        </w:rPr>
        <w:t>.(</w:t>
      </w:r>
      <w:proofErr w:type="gramEnd"/>
      <w:r w:rsidRPr="001C202F">
        <w:rPr>
          <w:rFonts w:cs="Arial"/>
          <w:b w:val="0"/>
          <w:sz w:val="18"/>
          <w:szCs w:val="18"/>
        </w:rPr>
        <w:t>ng/</w:t>
      </w:r>
      <w:proofErr w:type="spellStart"/>
      <w:r w:rsidRPr="001C202F">
        <w:rPr>
          <w:rFonts w:cs="Arial"/>
          <w:b w:val="0"/>
          <w:sz w:val="18"/>
          <w:szCs w:val="18"/>
        </w:rPr>
        <w:t>ul</w:t>
      </w:r>
      <w:proofErr w:type="spellEnd"/>
      <w:r w:rsidRPr="001C202F">
        <w:rPr>
          <w:rFonts w:cs="Arial"/>
          <w:b w:val="0"/>
          <w:sz w:val="18"/>
          <w:szCs w:val="18"/>
        </w:rPr>
        <w:t>):________</w:t>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rsidR="0075365F" w:rsidRDefault="0075365F" w:rsidP="00AF1C2B">
      <w:pPr>
        <w:tabs>
          <w:tab w:val="center" w:pos="5954"/>
          <w:tab w:val="right" w:pos="11340"/>
        </w:tabs>
        <w:suppressAutoHyphens/>
        <w:jc w:val="both"/>
        <w:rPr>
          <w:rFonts w:ascii="Arial" w:hAnsi="Arial" w:cs="Arial"/>
          <w:b/>
          <w:spacing w:val="-3"/>
          <w:sz w:val="18"/>
          <w:szCs w:val="18"/>
        </w:rPr>
      </w:pPr>
      <w:r>
        <w:rPr>
          <w:rFonts w:ascii="Arial" w:hAnsi="Arial" w:cs="Arial"/>
          <w:b/>
          <w:i/>
          <w:sz w:val="18"/>
          <w:szCs w:val="18"/>
        </w:rPr>
        <w:t>Interpretation</w:t>
      </w:r>
      <w:proofErr w:type="gramStart"/>
      <w:r>
        <w:rPr>
          <w:rFonts w:ascii="Arial" w:hAnsi="Arial" w:cs="Arial"/>
          <w:b/>
          <w:i/>
          <w:sz w:val="18"/>
          <w:szCs w:val="18"/>
        </w:rPr>
        <w:t>:_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rsidR="0075365F" w:rsidRDefault="0075365F" w:rsidP="00AF1C2B">
      <w:pPr>
        <w:tabs>
          <w:tab w:val="center" w:pos="5954"/>
          <w:tab w:val="right" w:pos="11340"/>
        </w:tabs>
        <w:suppressAutoHyphens/>
        <w:jc w:val="both"/>
        <w:rPr>
          <w:rFonts w:ascii="Arial" w:hAnsi="Arial" w:cs="Arial"/>
          <w:b/>
          <w:spacing w:val="-3"/>
          <w:sz w:val="18"/>
          <w:szCs w:val="18"/>
        </w:rPr>
      </w:pPr>
    </w:p>
    <w:p w:rsidR="0075365F" w:rsidRDefault="0075365F"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042288" w:rsidRDefault="00042288" w:rsidP="00BD04A7">
      <w:pPr>
        <w:tabs>
          <w:tab w:val="center" w:pos="5954"/>
          <w:tab w:val="right" w:pos="11340"/>
        </w:tabs>
        <w:suppressAutoHyphens/>
        <w:spacing w:before="120"/>
        <w:jc w:val="both"/>
        <w:rPr>
          <w:rFonts w:ascii="Arial" w:hAnsi="Arial" w:cs="Arial"/>
          <w:b/>
          <w:spacing w:val="-3"/>
          <w:sz w:val="18"/>
          <w:szCs w:val="18"/>
        </w:rPr>
      </w:pPr>
    </w:p>
    <w:p w:rsidR="00042288" w:rsidRDefault="00042288" w:rsidP="00BD04A7">
      <w:pPr>
        <w:tabs>
          <w:tab w:val="center" w:pos="5954"/>
          <w:tab w:val="right" w:pos="11340"/>
        </w:tabs>
        <w:suppressAutoHyphens/>
        <w:spacing w:before="120"/>
        <w:jc w:val="both"/>
        <w:rPr>
          <w:rFonts w:ascii="Arial" w:hAnsi="Arial" w:cs="Arial"/>
          <w:b/>
          <w:spacing w:val="-3"/>
          <w:sz w:val="18"/>
          <w:szCs w:val="18"/>
        </w:rPr>
      </w:pPr>
    </w:p>
    <w:p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rsidR="002400E5" w:rsidRDefault="002400E5" w:rsidP="007D78ED">
      <w:pPr>
        <w:suppressAutoHyphens/>
        <w:jc w:val="center"/>
        <w:rPr>
          <w:rFonts w:ascii="Arial" w:hAnsi="Arial"/>
          <w:b/>
          <w:spacing w:val="-3"/>
        </w:rPr>
      </w:pPr>
    </w:p>
    <w:p w:rsidR="00A046AF" w:rsidRDefault="002400E5" w:rsidP="00BD04A7">
      <w:pPr>
        <w:tabs>
          <w:tab w:val="center" w:pos="5954"/>
          <w:tab w:val="right" w:pos="11340"/>
        </w:tabs>
        <w:suppressAutoHyphens/>
        <w:jc w:val="both"/>
        <w:rPr>
          <w:rFonts w:ascii="Arial" w:hAnsi="Arial" w:cs="Arial"/>
          <w:b/>
          <w:spacing w:val="-3"/>
          <w:sz w:val="18"/>
          <w:szCs w:val="18"/>
        </w:rPr>
      </w:pPr>
      <w:r w:rsidRPr="002400E5">
        <w:rPr>
          <w:noProof/>
          <w:lang w:val="sv-SE" w:eastAsia="sv-SE"/>
        </w:rPr>
        <w:drawing>
          <wp:anchor distT="0" distB="0" distL="114300" distR="114300" simplePos="0" relativeHeight="251663872" behindDoc="0" locked="0" layoutInCell="1" allowOverlap="1">
            <wp:simplePos x="0" y="0"/>
            <wp:positionH relativeFrom="column">
              <wp:posOffset>3810</wp:posOffset>
            </wp:positionH>
            <wp:positionV relativeFrom="paragraph">
              <wp:posOffset>3810</wp:posOffset>
            </wp:positionV>
            <wp:extent cx="3852000" cy="11880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20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46E1" w:rsidRDefault="003D0DEE" w:rsidP="004D46E1">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rsidR="004D46E1" w:rsidRDefault="004D46E1" w:rsidP="004D46E1">
      <w:pPr>
        <w:tabs>
          <w:tab w:val="center" w:pos="5954"/>
          <w:tab w:val="right" w:pos="11340"/>
        </w:tabs>
        <w:suppressAutoHyphens/>
        <w:jc w:val="both"/>
        <w:rPr>
          <w:rFonts w:ascii="Arial" w:hAnsi="Arial" w:cs="Arial"/>
          <w:b/>
          <w:spacing w:val="-3"/>
          <w:sz w:val="18"/>
          <w:szCs w:val="18"/>
        </w:rPr>
      </w:pPr>
    </w:p>
    <w:p w:rsidR="001074EE" w:rsidRDefault="001074EE" w:rsidP="004D46E1">
      <w:pPr>
        <w:tabs>
          <w:tab w:val="center" w:pos="5954"/>
          <w:tab w:val="right" w:pos="11340"/>
        </w:tabs>
        <w:suppressAutoHyphens/>
        <w:jc w:val="both"/>
        <w:rPr>
          <w:rFonts w:ascii="Arial" w:hAnsi="Arial" w:cs="Arial"/>
          <w:spacing w:val="-2"/>
          <w:sz w:val="16"/>
          <w:szCs w:val="16"/>
        </w:rPr>
      </w:pPr>
    </w:p>
    <w:p w:rsidR="001074EE" w:rsidRDefault="001074EE" w:rsidP="004D46E1">
      <w:pPr>
        <w:tabs>
          <w:tab w:val="center" w:pos="5954"/>
          <w:tab w:val="right" w:pos="11340"/>
        </w:tabs>
        <w:suppressAutoHyphens/>
        <w:jc w:val="both"/>
        <w:rPr>
          <w:rFonts w:ascii="Arial" w:hAnsi="Arial" w:cs="Arial"/>
          <w:spacing w:val="-2"/>
          <w:sz w:val="16"/>
          <w:szCs w:val="16"/>
        </w:rPr>
      </w:pPr>
    </w:p>
    <w:p w:rsidR="001074EE" w:rsidRDefault="001074EE" w:rsidP="004D46E1">
      <w:pPr>
        <w:tabs>
          <w:tab w:val="center" w:pos="5954"/>
          <w:tab w:val="right" w:pos="11340"/>
        </w:tabs>
        <w:suppressAutoHyphens/>
        <w:jc w:val="both"/>
        <w:rPr>
          <w:rFonts w:ascii="Arial" w:hAnsi="Arial" w:cs="Arial"/>
          <w:spacing w:val="-2"/>
          <w:sz w:val="16"/>
          <w:szCs w:val="16"/>
        </w:rPr>
      </w:pPr>
    </w:p>
    <w:p w:rsidR="001074EE" w:rsidRDefault="001074EE" w:rsidP="004D46E1">
      <w:pPr>
        <w:tabs>
          <w:tab w:val="center" w:pos="5954"/>
          <w:tab w:val="right" w:pos="11340"/>
        </w:tabs>
        <w:suppressAutoHyphens/>
        <w:jc w:val="both"/>
        <w:rPr>
          <w:rFonts w:ascii="Arial" w:hAnsi="Arial" w:cs="Arial"/>
          <w:spacing w:val="-2"/>
          <w:sz w:val="16"/>
          <w:szCs w:val="16"/>
        </w:rPr>
      </w:pPr>
    </w:p>
    <w:p w:rsidR="001074EE" w:rsidRDefault="001074EE" w:rsidP="004D46E1">
      <w:pPr>
        <w:tabs>
          <w:tab w:val="center" w:pos="5954"/>
          <w:tab w:val="right" w:pos="11340"/>
        </w:tabs>
        <w:suppressAutoHyphens/>
        <w:jc w:val="both"/>
        <w:rPr>
          <w:rFonts w:ascii="Arial" w:hAnsi="Arial" w:cs="Arial"/>
          <w:spacing w:val="-2"/>
          <w:sz w:val="16"/>
          <w:szCs w:val="16"/>
        </w:rPr>
      </w:pPr>
    </w:p>
    <w:p w:rsidR="001074EE" w:rsidRDefault="001074EE" w:rsidP="004D46E1">
      <w:pPr>
        <w:tabs>
          <w:tab w:val="center" w:pos="5954"/>
          <w:tab w:val="right" w:pos="11340"/>
        </w:tabs>
        <w:suppressAutoHyphens/>
        <w:jc w:val="both"/>
        <w:rPr>
          <w:rFonts w:ascii="Arial" w:hAnsi="Arial" w:cs="Arial"/>
          <w:spacing w:val="-2"/>
          <w:sz w:val="16"/>
          <w:szCs w:val="16"/>
        </w:rPr>
      </w:pPr>
    </w:p>
    <w:p w:rsidR="00514F32" w:rsidRDefault="00514F32" w:rsidP="002400E5">
      <w:pPr>
        <w:suppressAutoHyphens/>
        <w:rPr>
          <w:rFonts w:ascii="Arial" w:hAnsi="Arial"/>
          <w:b/>
          <w:spacing w:val="-3"/>
        </w:rPr>
      </w:pPr>
    </w:p>
    <w:p w:rsidR="008B5C1A" w:rsidRDefault="008B5C1A" w:rsidP="00042288">
      <w:pPr>
        <w:suppressAutoHyphens/>
        <w:jc w:val="center"/>
        <w:rPr>
          <w:rFonts w:ascii="Arial" w:hAnsi="Arial"/>
          <w:b/>
          <w:spacing w:val="-3"/>
        </w:rPr>
      </w:pPr>
    </w:p>
    <w:p w:rsidR="00A25812" w:rsidRDefault="00A25812" w:rsidP="00A25812">
      <w:pPr>
        <w:suppressAutoHyphens/>
        <w:jc w:val="center"/>
        <w:rPr>
          <w:rFonts w:ascii="Arial" w:hAnsi="Arial"/>
          <w:b/>
          <w:spacing w:val="-3"/>
        </w:rPr>
      </w:pPr>
      <w:r w:rsidRPr="00A25812">
        <w:rPr>
          <w:noProof/>
          <w:lang w:val="sv-SE" w:eastAsia="sv-SE"/>
        </w:rPr>
        <w:drawing>
          <wp:anchor distT="0" distB="0" distL="114300" distR="114300" simplePos="0" relativeHeight="251664896" behindDoc="0" locked="0" layoutInCell="1" allowOverlap="1" wp14:anchorId="59258B36" wp14:editId="105A861D">
            <wp:simplePos x="0" y="0"/>
            <wp:positionH relativeFrom="column">
              <wp:posOffset>3810</wp:posOffset>
            </wp:positionH>
            <wp:positionV relativeFrom="paragraph">
              <wp:posOffset>346710</wp:posOffset>
            </wp:positionV>
            <wp:extent cx="6181200" cy="131760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2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288" w:rsidRPr="00042288">
        <w:rPr>
          <w:rFonts w:ascii="Arial" w:hAnsi="Arial"/>
          <w:b/>
          <w:spacing w:val="-3"/>
        </w:rPr>
        <w:t xml:space="preserve">DR </w:t>
      </w:r>
      <w:proofErr w:type="gramStart"/>
      <w:r w:rsidR="00042288" w:rsidRPr="00042288">
        <w:rPr>
          <w:rFonts w:ascii="Arial" w:hAnsi="Arial"/>
          <w:b/>
          <w:spacing w:val="-3"/>
        </w:rPr>
        <w:t>low</w:t>
      </w:r>
      <w:proofErr w:type="gramEnd"/>
      <w:r w:rsidR="00042288" w:rsidRPr="00042288">
        <w:rPr>
          <w:rFonts w:ascii="Arial" w:hAnsi="Arial"/>
          <w:b/>
          <w:spacing w:val="-3"/>
        </w:rPr>
        <w:t xml:space="preserve"> resolution</w:t>
      </w:r>
    </w:p>
    <w:p w:rsidR="00A25812" w:rsidRDefault="001E3A70" w:rsidP="00042288">
      <w:pPr>
        <w:suppressAutoHyphens/>
        <w:jc w:val="center"/>
        <w:rPr>
          <w:rFonts w:ascii="Arial" w:hAnsi="Arial"/>
          <w:b/>
          <w:spacing w:val="-3"/>
        </w:rPr>
      </w:pPr>
      <w:r w:rsidRPr="002400E5">
        <w:rPr>
          <w:noProof/>
          <w:lang w:val="sv-SE" w:eastAsia="sv-SE"/>
        </w:rPr>
        <w:drawing>
          <wp:anchor distT="0" distB="0" distL="114300" distR="114300" simplePos="0" relativeHeight="251665920" behindDoc="0" locked="0" layoutInCell="1" allowOverlap="1" wp14:anchorId="2026AB17" wp14:editId="067E4476">
            <wp:simplePos x="0" y="0"/>
            <wp:positionH relativeFrom="column">
              <wp:posOffset>0</wp:posOffset>
            </wp:positionH>
            <wp:positionV relativeFrom="paragraph">
              <wp:posOffset>1619885</wp:posOffset>
            </wp:positionV>
            <wp:extent cx="2365200" cy="1044000"/>
            <wp:effectExtent l="0" t="0" r="0" b="381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5200" cy="1044000"/>
                    </a:xfrm>
                    <a:prstGeom prst="rect">
                      <a:avLst/>
                    </a:prstGeom>
                    <a:noFill/>
                    <a:ln>
                      <a:noFill/>
                    </a:ln>
                  </pic:spPr>
                </pic:pic>
              </a:graphicData>
            </a:graphic>
          </wp:anchor>
        </w:drawing>
      </w:r>
    </w:p>
    <w:p w:rsidR="00042288" w:rsidRPr="00042288" w:rsidRDefault="00042288" w:rsidP="00042288">
      <w:pPr>
        <w:suppressAutoHyphens/>
        <w:jc w:val="center"/>
        <w:rPr>
          <w:rFonts w:ascii="Arial" w:hAnsi="Arial"/>
          <w:b/>
          <w:spacing w:val="-3"/>
        </w:rPr>
      </w:pPr>
      <w:r w:rsidRPr="00042288">
        <w:rPr>
          <w:rFonts w:ascii="Arial" w:hAnsi="Arial"/>
          <w:b/>
          <w:spacing w:val="-3"/>
        </w:rPr>
        <w:fldChar w:fldCharType="begin"/>
      </w:r>
      <w:r w:rsidRPr="00042288">
        <w:rPr>
          <w:rFonts w:ascii="Arial" w:hAnsi="Arial"/>
          <w:b/>
          <w:spacing w:val="-3"/>
        </w:rPr>
        <w:instrText xml:space="preserve">PRIVATE </w:instrText>
      </w:r>
      <w:r w:rsidRPr="00042288">
        <w:rPr>
          <w:rFonts w:ascii="Arial" w:hAnsi="Arial"/>
          <w:b/>
          <w:spacing w:val="-3"/>
        </w:rPr>
        <w:fldChar w:fldCharType="end"/>
      </w:r>
    </w:p>
    <w:p w:rsidR="001074EE" w:rsidRDefault="00A25812" w:rsidP="004D46E1">
      <w:pPr>
        <w:tabs>
          <w:tab w:val="center" w:pos="5954"/>
          <w:tab w:val="right" w:pos="11340"/>
        </w:tabs>
        <w:suppressAutoHyphens/>
        <w:jc w:val="both"/>
        <w:rPr>
          <w:rFonts w:ascii="Arial" w:hAnsi="Arial" w:cs="Arial"/>
          <w:spacing w:val="-2"/>
          <w:sz w:val="16"/>
          <w:szCs w:val="16"/>
        </w:rPr>
      </w:pPr>
      <w:r>
        <w:rPr>
          <w:rFonts w:ascii="Arial" w:hAnsi="Arial" w:cs="Arial"/>
          <w:spacing w:val="-2"/>
          <w:sz w:val="16"/>
          <w:szCs w:val="16"/>
        </w:rPr>
        <w:br w:type="textWrapping" w:clear="all"/>
      </w:r>
    </w:p>
    <w:p w:rsidR="003C60D3" w:rsidRDefault="002400E5"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 xml:space="preserve"> </w:t>
      </w:r>
      <w:r w:rsidR="006479D6" w:rsidRPr="0033413D">
        <w:rPr>
          <w:rFonts w:ascii="Arial" w:hAnsi="Arial" w:cs="Arial"/>
          <w:spacing w:val="-2"/>
          <w:sz w:val="16"/>
          <w:szCs w:val="16"/>
        </w:rPr>
        <w:t>‘ICB</w:t>
      </w:r>
      <w:r w:rsidR="006479D6">
        <w:rPr>
          <w:rFonts w:ascii="Arial" w:hAnsi="Arial" w:cs="Arial"/>
          <w:spacing w:val="-2"/>
          <w:sz w:val="16"/>
          <w:szCs w:val="16"/>
        </w:rPr>
        <w:t>’</w:t>
      </w:r>
      <w:r w:rsidR="006479D6" w:rsidRPr="0033413D">
        <w:rPr>
          <w:rFonts w:ascii="Arial" w:hAnsi="Arial" w:cs="Arial"/>
          <w:spacing w:val="-2"/>
          <w:sz w:val="16"/>
          <w:szCs w:val="16"/>
        </w:rPr>
        <w:t xml:space="preserve"> Internal Control Band, </w:t>
      </w:r>
    </w:p>
    <w:p w:rsidR="006479D6" w:rsidRDefault="00607B65" w:rsidP="00317D01">
      <w:pPr>
        <w:suppressAutoHyphens/>
        <w:jc w:val="both"/>
        <w:rPr>
          <w:rFonts w:ascii="Arial" w:hAnsi="Arial" w:cs="Arial"/>
          <w:spacing w:val="-2"/>
          <w:sz w:val="16"/>
          <w:szCs w:val="16"/>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317D01" w:rsidRDefault="00317D01" w:rsidP="00317D01">
      <w:pPr>
        <w:suppressAutoHyphens/>
        <w:jc w:val="both"/>
        <w:rPr>
          <w:rFonts w:ascii="Arial" w:hAnsi="Arial" w:cs="Arial"/>
          <w:spacing w:val="-2"/>
          <w:sz w:val="16"/>
          <w:szCs w:val="16"/>
        </w:rPr>
      </w:pPr>
    </w:p>
    <w:p w:rsidR="00317D01" w:rsidRDefault="00317D01" w:rsidP="00317D01">
      <w:pPr>
        <w:suppressAutoHyphens/>
        <w:jc w:val="both"/>
        <w:rPr>
          <w:rFonts w:ascii="Arial" w:hAnsi="Arial" w:cs="Arial"/>
          <w:spacing w:val="-2"/>
          <w:sz w:val="16"/>
          <w:szCs w:val="16"/>
        </w:rPr>
      </w:pPr>
    </w:p>
    <w:p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rsidR="00317D01" w:rsidRPr="00AA33FC" w:rsidRDefault="00317D01" w:rsidP="0077105F">
      <w:pPr>
        <w:suppressAutoHyphens/>
        <w:ind w:left="-142" w:right="567"/>
        <w:jc w:val="both"/>
        <w:rPr>
          <w:rFonts w:ascii="Arial" w:hAnsi="Arial" w:cs="Arial"/>
          <w:spacing w:val="-2"/>
          <w:sz w:val="28"/>
          <w:szCs w:val="18"/>
        </w:rPr>
      </w:pPr>
    </w:p>
    <w:p w:rsidR="00317D01" w:rsidRPr="00AA33FC" w:rsidRDefault="00317D01" w:rsidP="0077105F">
      <w:pPr>
        <w:suppressAutoHyphens/>
        <w:ind w:right="567"/>
        <w:jc w:val="center"/>
        <w:rPr>
          <w:rFonts w:ascii="Arial" w:hAnsi="Arial"/>
          <w:b/>
          <w:spacing w:val="-3"/>
        </w:rPr>
      </w:pPr>
      <w:r w:rsidRPr="004D6E2F">
        <w:rPr>
          <w:rFonts w:ascii="Arial" w:hAnsi="Arial"/>
          <w:b/>
          <w:spacing w:val="-3"/>
        </w:rPr>
        <w:t>HLA-</w:t>
      </w:r>
      <w:r>
        <w:rPr>
          <w:rFonts w:ascii="Arial" w:hAnsi="Arial"/>
          <w:b/>
          <w:spacing w:val="-3"/>
        </w:rPr>
        <w:t>DQ</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rsidR="00317D01" w:rsidRPr="00AA33FC" w:rsidRDefault="00317D01" w:rsidP="0077105F">
      <w:pPr>
        <w:suppressAutoHyphens/>
        <w:ind w:left="-142" w:right="567"/>
        <w:jc w:val="both"/>
        <w:rPr>
          <w:rFonts w:ascii="Arial" w:hAnsi="Arial" w:cs="Arial"/>
          <w:spacing w:val="-2"/>
          <w:sz w:val="28"/>
          <w:szCs w:val="18"/>
        </w:rPr>
      </w:pPr>
    </w:p>
    <w:p w:rsidR="00317D01" w:rsidRPr="009E7AAE" w:rsidRDefault="00317D01" w:rsidP="0077105F">
      <w:pPr>
        <w:ind w:right="567"/>
        <w:jc w:val="both"/>
        <w:rPr>
          <w:rFonts w:ascii="Arial" w:hAnsi="Arial" w:cs="Arial"/>
          <w:sz w:val="18"/>
          <w:szCs w:val="18"/>
        </w:rPr>
      </w:pPr>
      <w:r w:rsidRPr="009E7AAE">
        <w:rPr>
          <w:rFonts w:ascii="Arial" w:hAnsi="Arial" w:cs="Arial"/>
          <w:sz w:val="18"/>
          <w:szCs w:val="18"/>
        </w:rPr>
        <w:t>HLA-specific</w:t>
      </w:r>
      <w:r w:rsidRPr="009E7AAE">
        <w:rPr>
          <w:rFonts w:cs="Arial"/>
          <w:sz w:val="18"/>
          <w:szCs w:val="18"/>
        </w:rPr>
        <w:t xml:space="preserve"> </w:t>
      </w:r>
      <w:r w:rsidRPr="009E7AAE">
        <w:rPr>
          <w:rFonts w:ascii="Arial" w:hAnsi="Arial" w:cs="Arial"/>
          <w:sz w:val="18"/>
          <w:szCs w:val="18"/>
        </w:rPr>
        <w:t>PCR products shorter than 125 base pairs have a lower intensity and are less sharp than longer PCR products.</w:t>
      </w:r>
    </w:p>
    <w:p w:rsidR="00317D01" w:rsidRPr="009E7AAE" w:rsidRDefault="00317D01" w:rsidP="0077105F">
      <w:pPr>
        <w:pStyle w:val="Sidfot"/>
        <w:tabs>
          <w:tab w:val="clear" w:pos="4153"/>
          <w:tab w:val="clear" w:pos="8306"/>
        </w:tabs>
        <w:ind w:right="567"/>
        <w:jc w:val="both"/>
        <w:rPr>
          <w:rFonts w:ascii="Arial" w:hAnsi="Arial" w:cs="Arial"/>
          <w:sz w:val="18"/>
          <w:szCs w:val="18"/>
          <w:lang w:val="en-US"/>
        </w:rPr>
      </w:pPr>
      <w:r w:rsidRPr="009E7AAE">
        <w:rPr>
          <w:rFonts w:ascii="Arial" w:hAnsi="Arial" w:cs="Arial"/>
          <w:sz w:val="18"/>
          <w:szCs w:val="18"/>
          <w:lang w:val="en-US"/>
        </w:rPr>
        <w:t>The primer pairs in wells 1, 2, 4 and 8 will in some samples give rise to two HLA-specific PCR fragments.</w:t>
      </w:r>
    </w:p>
    <w:p w:rsidR="00317D01" w:rsidRPr="009E7AAE" w:rsidRDefault="00317D01" w:rsidP="0077105F">
      <w:pPr>
        <w:ind w:right="567"/>
        <w:jc w:val="both"/>
        <w:rPr>
          <w:rFonts w:ascii="Arial" w:hAnsi="Arial" w:cs="Arial"/>
          <w:sz w:val="18"/>
          <w:szCs w:val="18"/>
        </w:rPr>
      </w:pPr>
      <w:r w:rsidRPr="009E7AAE">
        <w:rPr>
          <w:rFonts w:ascii="Arial" w:hAnsi="Arial" w:cs="Arial"/>
          <w:sz w:val="18"/>
          <w:szCs w:val="18"/>
        </w:rPr>
        <w:t>Primer mixes 4, 7, 9 and 12 may give rise to a lower yield of HLA-specific PCR product than the other DQ low primer mixes,</w:t>
      </w:r>
      <w:r w:rsidRPr="009E7AAE">
        <w:rPr>
          <w:rFonts w:ascii="Arial" w:hAnsi="Arial" w:cs="Arial"/>
          <w:sz w:val="18"/>
          <w:szCs w:val="18"/>
          <w:lang w:val="en-GB"/>
        </w:rPr>
        <w:t xml:space="preserve"> most pronounced in primer mixes 4, 7 and 12.</w:t>
      </w:r>
    </w:p>
    <w:p w:rsidR="00317D01" w:rsidRPr="009E7AAE" w:rsidRDefault="00317D01" w:rsidP="0077105F">
      <w:pPr>
        <w:tabs>
          <w:tab w:val="left" w:pos="0"/>
          <w:tab w:val="left" w:pos="1440"/>
          <w:tab w:val="left" w:pos="3024"/>
          <w:tab w:val="left" w:pos="4284"/>
          <w:tab w:val="left" w:pos="5760"/>
          <w:tab w:val="center" w:pos="9072"/>
        </w:tabs>
        <w:suppressAutoHyphens/>
        <w:ind w:right="567"/>
        <w:jc w:val="both"/>
        <w:rPr>
          <w:rFonts w:ascii="Arial" w:hAnsi="Arial" w:cs="Arial"/>
          <w:sz w:val="18"/>
          <w:szCs w:val="18"/>
        </w:rPr>
      </w:pPr>
      <w:r w:rsidRPr="009E7AAE">
        <w:rPr>
          <w:rFonts w:ascii="Arial" w:hAnsi="Arial" w:cs="Arial"/>
          <w:sz w:val="18"/>
          <w:szCs w:val="18"/>
        </w:rPr>
        <w:t>Primer mix 13 may have a tendency of unspecific amplification.</w:t>
      </w:r>
    </w:p>
    <w:p w:rsidR="00317D01" w:rsidRPr="00AA33FC"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28"/>
          <w:szCs w:val="18"/>
        </w:rPr>
      </w:pPr>
    </w:p>
    <w:p w:rsidR="00317D01" w:rsidRPr="00AA33FC" w:rsidRDefault="00317D01" w:rsidP="0077105F">
      <w:pPr>
        <w:suppressAutoHyphens/>
        <w:ind w:right="567"/>
        <w:jc w:val="center"/>
        <w:rPr>
          <w:rFonts w:ascii="Arial" w:hAnsi="Arial"/>
          <w:b/>
          <w:spacing w:val="-3"/>
        </w:rPr>
      </w:pPr>
      <w:r>
        <w:rPr>
          <w:rFonts w:ascii="Arial" w:hAnsi="Arial"/>
          <w:b/>
          <w:spacing w:val="-3"/>
        </w:rPr>
        <w:t>HLA-DR</w:t>
      </w:r>
      <w:r w:rsidRPr="004D6E2F">
        <w:rPr>
          <w:rFonts w:ascii="Arial" w:hAnsi="Arial"/>
          <w:b/>
          <w:spacing w:val="-3"/>
        </w:rPr>
        <w:t xml:space="preserve"> low resolution primer set</w:t>
      </w:r>
      <w:r w:rsidRPr="004D6E2F">
        <w:rPr>
          <w:rFonts w:ascii="Arial" w:hAnsi="Arial"/>
          <w:b/>
          <w:spacing w:val="-3"/>
        </w:rPr>
        <w:fldChar w:fldCharType="begin"/>
      </w:r>
      <w:r w:rsidRPr="004D6E2F">
        <w:rPr>
          <w:rFonts w:ascii="Arial" w:hAnsi="Arial"/>
          <w:b/>
          <w:spacing w:val="-3"/>
        </w:rPr>
        <w:instrText xml:space="preserve">PRIVATE </w:instrText>
      </w:r>
      <w:r w:rsidRPr="004D6E2F">
        <w:rPr>
          <w:rFonts w:ascii="Arial" w:hAnsi="Arial"/>
          <w:b/>
          <w:spacing w:val="-3"/>
        </w:rPr>
        <w:fldChar w:fldCharType="end"/>
      </w:r>
      <w:r w:rsidRPr="004D6E2F">
        <w:rPr>
          <w:rFonts w:ascii="Arial" w:hAnsi="Arial"/>
          <w:b/>
          <w:spacing w:val="-3"/>
        </w:rPr>
        <w:t xml:space="preserve"> </w:t>
      </w:r>
    </w:p>
    <w:p w:rsidR="00317D01" w:rsidRPr="00E14486" w:rsidRDefault="00317D01" w:rsidP="0077105F">
      <w:pPr>
        <w:ind w:right="567"/>
        <w:jc w:val="both"/>
        <w:rPr>
          <w:rFonts w:ascii="Arial" w:hAnsi="Arial" w:cs="Arial"/>
          <w:sz w:val="28"/>
          <w:szCs w:val="18"/>
        </w:rPr>
      </w:pPr>
    </w:p>
    <w:p w:rsidR="00317D01" w:rsidRPr="00E14486" w:rsidRDefault="00317D01" w:rsidP="0077105F">
      <w:pPr>
        <w:ind w:right="567"/>
        <w:jc w:val="both"/>
        <w:rPr>
          <w:rFonts w:ascii="Arial" w:hAnsi="Arial" w:cs="Arial"/>
          <w:sz w:val="18"/>
          <w:szCs w:val="18"/>
        </w:rPr>
      </w:pPr>
      <w:r w:rsidRPr="009E7AAE">
        <w:rPr>
          <w:rFonts w:ascii="Arial" w:hAnsi="Arial" w:cs="Arial"/>
          <w:sz w:val="18"/>
          <w:szCs w:val="18"/>
        </w:rPr>
        <w:t>HLA-specific</w:t>
      </w:r>
      <w:r w:rsidRPr="009E7AAE">
        <w:rPr>
          <w:rFonts w:cs="Arial"/>
          <w:sz w:val="18"/>
          <w:szCs w:val="18"/>
        </w:rPr>
        <w:t xml:space="preserve"> </w:t>
      </w:r>
      <w:r w:rsidRPr="009E7AAE">
        <w:rPr>
          <w:rFonts w:ascii="Arial" w:hAnsi="Arial" w:cs="Arial"/>
          <w:sz w:val="18"/>
          <w:szCs w:val="18"/>
        </w:rPr>
        <w:t>PCR products shorter than 125 base pairs have a lower intensity and are less sharp than longer PCR products.</w:t>
      </w:r>
    </w:p>
    <w:p w:rsidR="00317D01" w:rsidRPr="009E7AAE"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9E7AAE">
        <w:rPr>
          <w:rFonts w:ascii="Arial" w:hAnsi="Arial" w:cs="Arial"/>
          <w:sz w:val="18"/>
          <w:szCs w:val="18"/>
        </w:rPr>
        <w:t>Individual alleles can give to rise to two differently sized specific PCR fragments in primer mixes 15, 19 to 22, 24, 25, 27, 28, 30, 32 to 34, 36, 41 and 43.</w:t>
      </w:r>
    </w:p>
    <w:p w:rsidR="007E6F3B" w:rsidRPr="007E6F3B" w:rsidRDefault="00D94BFA" w:rsidP="007E6F3B">
      <w:pPr>
        <w:tabs>
          <w:tab w:val="left" w:pos="0"/>
          <w:tab w:val="left" w:pos="426"/>
          <w:tab w:val="left" w:pos="3024"/>
          <w:tab w:val="left" w:pos="4284"/>
          <w:tab w:val="left" w:pos="5760"/>
          <w:tab w:val="center" w:pos="8789"/>
        </w:tabs>
        <w:suppressAutoHyphens/>
        <w:jc w:val="both"/>
        <w:rPr>
          <w:rFonts w:ascii="Arial" w:hAnsi="Arial" w:cs="Arial"/>
          <w:spacing w:val="-3"/>
          <w:sz w:val="18"/>
          <w:szCs w:val="18"/>
        </w:rPr>
      </w:pPr>
      <w:r w:rsidRPr="007E6F3B">
        <w:rPr>
          <w:rFonts w:ascii="Arial" w:hAnsi="Arial" w:cs="Arial"/>
          <w:spacing w:val="-3"/>
          <w:sz w:val="18"/>
          <w:szCs w:val="18"/>
        </w:rPr>
        <w:t xml:space="preserve">Due to sharing of sequence motifs in codon 38 and 47, DRB3*01:14 will also be amplified in primer mixes </w:t>
      </w:r>
      <w:r w:rsidR="007E6F3B" w:rsidRPr="007E6F3B">
        <w:rPr>
          <w:rFonts w:ascii="Arial" w:hAnsi="Arial" w:cs="Arial"/>
          <w:spacing w:val="-3"/>
          <w:sz w:val="18"/>
          <w:szCs w:val="18"/>
        </w:rPr>
        <w:t>19, 20 and 31 and DRB3*01:23 and *02:32 in mix 13, in addition to primer mix 43.</w:t>
      </w:r>
    </w:p>
    <w:p w:rsidR="00317D01" w:rsidRDefault="00317D01" w:rsidP="007E6F3B">
      <w:pPr>
        <w:tabs>
          <w:tab w:val="left" w:pos="0"/>
          <w:tab w:val="left" w:pos="426"/>
          <w:tab w:val="left" w:pos="3024"/>
          <w:tab w:val="left" w:pos="4284"/>
          <w:tab w:val="left" w:pos="5760"/>
          <w:tab w:val="center" w:pos="8789"/>
        </w:tabs>
        <w:suppressAutoHyphens/>
        <w:jc w:val="both"/>
        <w:rPr>
          <w:rFonts w:ascii="Arial" w:hAnsi="Arial" w:cs="Arial"/>
          <w:sz w:val="18"/>
          <w:szCs w:val="18"/>
        </w:rPr>
      </w:pPr>
    </w:p>
    <w:p w:rsidR="00317D01" w:rsidRPr="009E7AAE" w:rsidRDefault="0077105F"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Pr>
          <w:rFonts w:ascii="Arial" w:hAnsi="Arial" w:cs="Arial"/>
          <w:sz w:val="18"/>
          <w:szCs w:val="18"/>
        </w:rPr>
        <w:t>D</w:t>
      </w:r>
      <w:r w:rsidR="00317D01" w:rsidRPr="009E7AAE">
        <w:rPr>
          <w:rFonts w:ascii="Arial" w:hAnsi="Arial" w:cs="Arial"/>
          <w:sz w:val="18"/>
          <w:szCs w:val="18"/>
        </w:rPr>
        <w:t>ue to sharing of sequence motifs, DRB3*02:27 is amplified by the primer pairs in well 29 in addition to primer mix 43.</w:t>
      </w:r>
    </w:p>
    <w:p w:rsidR="00317D01" w:rsidRPr="00EA4679"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A4679">
        <w:rPr>
          <w:rFonts w:ascii="Arial" w:hAnsi="Arial" w:cs="Arial"/>
          <w:sz w:val="18"/>
          <w:szCs w:val="18"/>
        </w:rPr>
        <w:t xml:space="preserve">DRB5*01:08N is amplified by the primer pairs in well 38 in addition to primer mix 45. </w:t>
      </w:r>
    </w:p>
    <w:p w:rsidR="00317D01" w:rsidRPr="00EA4679"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lang w:val="en-GB"/>
        </w:rPr>
      </w:pPr>
      <w:r>
        <w:rPr>
          <w:rFonts w:ascii="Arial" w:hAnsi="Arial" w:cs="Arial"/>
          <w:sz w:val="18"/>
          <w:szCs w:val="18"/>
        </w:rPr>
        <w:t>Primer mixes 15, 17, 30, 33 and</w:t>
      </w:r>
      <w:r w:rsidRPr="00EA4679">
        <w:rPr>
          <w:rFonts w:ascii="Arial" w:hAnsi="Arial" w:cs="Arial"/>
          <w:sz w:val="18"/>
          <w:szCs w:val="18"/>
        </w:rPr>
        <w:t xml:space="preserve"> 36</w:t>
      </w:r>
      <w:r>
        <w:rPr>
          <w:rFonts w:ascii="Arial" w:hAnsi="Arial" w:cs="Arial"/>
          <w:sz w:val="18"/>
          <w:szCs w:val="18"/>
        </w:rPr>
        <w:t xml:space="preserve"> </w:t>
      </w:r>
      <w:r w:rsidRPr="00EA4679">
        <w:rPr>
          <w:rFonts w:ascii="Arial" w:hAnsi="Arial" w:cs="Arial"/>
          <w:sz w:val="18"/>
          <w:szCs w:val="18"/>
        </w:rPr>
        <w:t xml:space="preserve">may </w:t>
      </w:r>
      <w:r w:rsidRPr="00EA4679">
        <w:rPr>
          <w:rFonts w:ascii="Arial" w:hAnsi="Arial" w:cs="Arial"/>
          <w:sz w:val="18"/>
          <w:szCs w:val="18"/>
          <w:lang w:val="en-GB"/>
        </w:rPr>
        <w:t>have a tendency of giving rise to primer oligomer formation.</w:t>
      </w:r>
    </w:p>
    <w:p w:rsidR="00317D01" w:rsidRPr="00EA4679"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A4679">
        <w:rPr>
          <w:rFonts w:ascii="Arial" w:hAnsi="Arial" w:cs="Arial"/>
          <w:sz w:val="18"/>
          <w:szCs w:val="18"/>
          <w:lang w:val="en-GB"/>
        </w:rPr>
        <w:t>P</w:t>
      </w:r>
      <w:proofErr w:type="spellStart"/>
      <w:r w:rsidRPr="00EA4679">
        <w:rPr>
          <w:rFonts w:ascii="Arial" w:hAnsi="Arial" w:cs="Arial"/>
          <w:sz w:val="18"/>
          <w:szCs w:val="18"/>
        </w:rPr>
        <w:t>rimer</w:t>
      </w:r>
      <w:proofErr w:type="spellEnd"/>
      <w:r w:rsidRPr="00EA4679">
        <w:rPr>
          <w:rFonts w:ascii="Arial" w:hAnsi="Arial" w:cs="Arial"/>
          <w:sz w:val="18"/>
          <w:szCs w:val="18"/>
        </w:rPr>
        <w:t xml:space="preserve"> mix 33 has a tendency of giving rise to an intense primer cloud due to the high number of primers present in the primer mix.</w:t>
      </w:r>
    </w:p>
    <w:p w:rsidR="00317D01" w:rsidRPr="00EA4679"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vertAlign w:val="superscript"/>
        </w:rPr>
      </w:pPr>
      <w:r w:rsidRPr="00EA4679">
        <w:rPr>
          <w:rFonts w:ascii="Arial" w:hAnsi="Arial" w:cs="Arial"/>
          <w:sz w:val="18"/>
          <w:szCs w:val="18"/>
          <w:lang w:val="en-GB"/>
        </w:rPr>
        <w:t>Primer mixes 17, 18 and 23 may have a tendency of unspecific amplification.</w:t>
      </w:r>
    </w:p>
    <w:p w:rsidR="00317D01" w:rsidRPr="00317D01" w:rsidRDefault="00317D01" w:rsidP="0077105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EA4679">
        <w:rPr>
          <w:rFonts w:ascii="Arial" w:hAnsi="Arial" w:cs="Arial"/>
          <w:sz w:val="18"/>
          <w:szCs w:val="18"/>
        </w:rPr>
        <w:t>Primer mix 46 contains a negative control, which will amplify more than 95% of HLA amplicons as well as the</w:t>
      </w:r>
      <w:r>
        <w:rPr>
          <w:rFonts w:ascii="Arial" w:hAnsi="Arial" w:cs="Arial"/>
          <w:sz w:val="18"/>
          <w:szCs w:val="18"/>
        </w:rPr>
        <w:t xml:space="preserve"> </w:t>
      </w:r>
      <w:r w:rsidRPr="00EA4679">
        <w:rPr>
          <w:rFonts w:ascii="Arial" w:hAnsi="Arial" w:cs="Arial"/>
          <w:sz w:val="18"/>
          <w:szCs w:val="18"/>
        </w:rPr>
        <w:t>amplicons generated by the control primer pairs matching the human growth hormone gene. HLA-specific PCR</w:t>
      </w:r>
      <w:r>
        <w:rPr>
          <w:rFonts w:ascii="Arial" w:hAnsi="Arial" w:cs="Arial"/>
          <w:sz w:val="18"/>
          <w:szCs w:val="18"/>
        </w:rPr>
        <w:t xml:space="preserve"> </w:t>
      </w:r>
      <w:r w:rsidRPr="00EA4679">
        <w:rPr>
          <w:rFonts w:ascii="Arial" w:hAnsi="Arial" w:cs="Arial"/>
          <w:sz w:val="18"/>
          <w:szCs w:val="18"/>
        </w:rPr>
        <w:t>product sizes range from 75 to 200 base pairs and the PCR product generated by the HGH positive control primer pair is 430 base pairs.</w:t>
      </w:r>
    </w:p>
    <w:p w:rsidR="00317D01" w:rsidRDefault="00317D01" w:rsidP="0077105F">
      <w:pPr>
        <w:suppressAutoHyphens/>
        <w:ind w:right="567"/>
        <w:jc w:val="both"/>
        <w:rPr>
          <w:rFonts w:ascii="Arial" w:hAnsi="Arial" w:cs="Arial"/>
          <w:spacing w:val="-2"/>
          <w:sz w:val="18"/>
          <w:szCs w:val="18"/>
          <w:vertAlign w:val="superscript"/>
        </w:rPr>
      </w:pPr>
    </w:p>
    <w:p w:rsidR="00317D01" w:rsidRDefault="00317D01" w:rsidP="00317D01">
      <w:pPr>
        <w:suppressAutoHyphens/>
        <w:jc w:val="both"/>
        <w:rPr>
          <w:rFonts w:ascii="Arial" w:hAnsi="Arial" w:cs="Arial"/>
          <w:spacing w:val="-2"/>
          <w:sz w:val="18"/>
          <w:szCs w:val="18"/>
          <w:vertAlign w:val="superscript"/>
        </w:rPr>
      </w:pPr>
    </w:p>
    <w:p w:rsidR="00317D01" w:rsidRPr="00317D01" w:rsidRDefault="00317D01" w:rsidP="00317D01">
      <w:pPr>
        <w:suppressAutoHyphens/>
        <w:jc w:val="both"/>
        <w:rPr>
          <w:rFonts w:ascii="Arial" w:hAnsi="Arial" w:cs="Arial"/>
          <w:spacing w:val="-2"/>
          <w:sz w:val="18"/>
          <w:szCs w:val="18"/>
          <w:vertAlign w:val="superscript"/>
        </w:rPr>
        <w:sectPr w:rsidR="00317D01" w:rsidRPr="00317D01" w:rsidSect="00D8697A">
          <w:headerReference w:type="even" r:id="rId14"/>
          <w:pgSz w:w="11907" w:h="16840" w:code="9"/>
          <w:pgMar w:top="1815" w:right="567" w:bottom="1701" w:left="1134" w:header="709" w:footer="720" w:gutter="0"/>
          <w:cols w:space="720"/>
          <w:docGrid w:linePitch="360"/>
        </w:sectPr>
      </w:pPr>
    </w:p>
    <w:p w:rsidR="006479D6" w:rsidRPr="00184A2E" w:rsidRDefault="006479D6" w:rsidP="00184A2E">
      <w:pPr>
        <w:pStyle w:val="Rubrik"/>
        <w:jc w:val="both"/>
        <w:rPr>
          <w:i/>
          <w:sz w:val="18"/>
          <w:szCs w:val="18"/>
        </w:rPr>
        <w:sectPr w:rsidR="006479D6" w:rsidRPr="00184A2E" w:rsidSect="006479D6">
          <w:type w:val="continuous"/>
          <w:pgSz w:w="11907" w:h="16840" w:code="9"/>
          <w:pgMar w:top="1815" w:right="567" w:bottom="1701" w:left="1134" w:header="709" w:footer="720" w:gutter="0"/>
          <w:pgNumType w:start="1"/>
          <w:cols w:num="3" w:space="213"/>
          <w:docGrid w:linePitch="360"/>
        </w:sectPr>
      </w:pPr>
    </w:p>
    <w:p w:rsidR="00342B31" w:rsidRDefault="0022226B" w:rsidP="00317D01">
      <w:pPr>
        <w:suppressAutoHyphens/>
        <w:jc w:val="center"/>
        <w:rPr>
          <w:rFonts w:ascii="Arial" w:hAnsi="Arial"/>
          <w:b/>
          <w:spacing w:val="-3"/>
        </w:rPr>
      </w:pPr>
      <w:r w:rsidRPr="0022226B">
        <w:rPr>
          <w:noProof/>
          <w:lang w:val="sv-SE" w:eastAsia="sv-SE"/>
        </w:rPr>
        <w:lastRenderedPageBreak/>
        <w:drawing>
          <wp:anchor distT="0" distB="0" distL="114300" distR="114300" simplePos="0" relativeHeight="251675136" behindDoc="0" locked="0" layoutInCell="1" allowOverlap="1" wp14:anchorId="2EFBCD4D" wp14:editId="0CFFC271">
            <wp:simplePos x="0" y="0"/>
            <wp:positionH relativeFrom="column">
              <wp:posOffset>97790</wp:posOffset>
            </wp:positionH>
            <wp:positionV relativeFrom="paragraph">
              <wp:posOffset>349140</wp:posOffset>
            </wp:positionV>
            <wp:extent cx="6303600" cy="7747200"/>
            <wp:effectExtent l="0" t="0" r="2540" b="635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3600" cy="774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B31" w:rsidRPr="00CC495C">
        <w:rPr>
          <w:rFonts w:ascii="Arial" w:hAnsi="Arial"/>
          <w:b/>
          <w:spacing w:val="-3"/>
        </w:rPr>
        <w:t xml:space="preserve">DQ low resolution </w:t>
      </w:r>
      <w:r w:rsidR="0017681C" w:rsidRPr="00CC495C">
        <w:rPr>
          <w:rFonts w:ascii="Arial" w:hAnsi="Arial"/>
          <w:b/>
          <w:spacing w:val="-3"/>
        </w:rPr>
        <w:t>Interpretation Table</w:t>
      </w:r>
    </w:p>
    <w:p w:rsidR="0022226B" w:rsidRDefault="0022226B" w:rsidP="009E146C">
      <w:pPr>
        <w:suppressAutoHyphens/>
        <w:jc w:val="center"/>
        <w:rPr>
          <w:rFonts w:ascii="Arial" w:hAnsi="Arial"/>
          <w:b/>
          <w:spacing w:val="-3"/>
        </w:rPr>
      </w:pPr>
    </w:p>
    <w:p w:rsidR="0022226B" w:rsidRPr="009E146C" w:rsidRDefault="0022226B" w:rsidP="009E146C">
      <w:pPr>
        <w:suppressAutoHyphens/>
        <w:jc w:val="center"/>
        <w:rPr>
          <w:rFonts w:ascii="Arial" w:hAnsi="Arial"/>
          <w:b/>
          <w:spacing w:val="-3"/>
        </w:rPr>
      </w:pPr>
    </w:p>
    <w:p w:rsidR="0022226B" w:rsidRPr="0022226B" w:rsidRDefault="0022226B" w:rsidP="0022226B">
      <w:pPr>
        <w:pStyle w:val="Sidfot"/>
        <w:tabs>
          <w:tab w:val="clear" w:pos="4153"/>
          <w:tab w:val="clear" w:pos="8306"/>
          <w:tab w:val="left" w:pos="142"/>
        </w:tabs>
        <w:ind w:left="142" w:right="-29"/>
        <w:jc w:val="both"/>
        <w:rPr>
          <w:rFonts w:ascii="Arial" w:hAnsi="Arial" w:cs="Arial"/>
          <w:b/>
          <w:sz w:val="18"/>
          <w:szCs w:val="18"/>
          <w:vertAlign w:val="superscript"/>
          <w:lang w:val="en-US"/>
        </w:rPr>
      </w:pPr>
      <w:r w:rsidRPr="0022226B">
        <w:rPr>
          <w:noProof/>
          <w:lang w:val="sv-SE" w:eastAsia="sv-SE"/>
        </w:rPr>
        <w:lastRenderedPageBreak/>
        <w:drawing>
          <wp:anchor distT="0" distB="0" distL="114300" distR="114300" simplePos="0" relativeHeight="251676160" behindDoc="0" locked="0" layoutInCell="1" allowOverlap="1" wp14:anchorId="198EB9E8" wp14:editId="137EAF3C">
            <wp:simplePos x="0" y="0"/>
            <wp:positionH relativeFrom="column">
              <wp:posOffset>126365</wp:posOffset>
            </wp:positionH>
            <wp:positionV relativeFrom="paragraph">
              <wp:posOffset>129540</wp:posOffset>
            </wp:positionV>
            <wp:extent cx="6300000" cy="6015600"/>
            <wp:effectExtent l="0" t="0" r="5715" b="4445"/>
            <wp:wrapSquare wrapText="bothSides"/>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0000" cy="60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5A12" w:rsidRPr="00C35A12" w:rsidRDefault="00C35A12" w:rsidP="003065E2">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t>1</w:t>
      </w:r>
      <w:r w:rsidRPr="00C35A12">
        <w:rPr>
          <w:spacing w:val="-3"/>
          <w:sz w:val="18"/>
          <w:szCs w:val="18"/>
        </w:rPr>
        <w:t>DQB1 alleles listed on th</w:t>
      </w:r>
      <w:r w:rsidR="001D068A">
        <w:rPr>
          <w:spacing w:val="-3"/>
          <w:sz w:val="18"/>
          <w:szCs w:val="18"/>
        </w:rPr>
        <w:t>e IMGT/HLA web pa</w:t>
      </w:r>
      <w:r w:rsidR="005F2666">
        <w:rPr>
          <w:spacing w:val="-3"/>
          <w:sz w:val="18"/>
          <w:szCs w:val="18"/>
        </w:rPr>
        <w:t>ge 2016-April-15, release 3.24</w:t>
      </w:r>
      <w:r w:rsidRPr="00C35A12">
        <w:rPr>
          <w:spacing w:val="-3"/>
          <w:sz w:val="18"/>
          <w:szCs w:val="18"/>
        </w:rPr>
        <w:t xml:space="preserve">.0, </w:t>
      </w:r>
      <w:hyperlink r:id="rId17" w:history="1">
        <w:r w:rsidRPr="00C35A12">
          <w:rPr>
            <w:rStyle w:val="Hyperlnk"/>
            <w:spacing w:val="-3"/>
            <w:sz w:val="18"/>
            <w:szCs w:val="18"/>
          </w:rPr>
          <w:t>www.ebi.ac.uk/imgt/hla</w:t>
        </w:r>
      </w:hyperlink>
      <w:r w:rsidRPr="00C35A12">
        <w:rPr>
          <w:spacing w:val="-3"/>
          <w:sz w:val="18"/>
          <w:szCs w:val="18"/>
        </w:rPr>
        <w:t>.</w:t>
      </w:r>
    </w:p>
    <w:p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rsidR="004F5B63" w:rsidRDefault="004F5B63" w:rsidP="003065E2">
      <w:pPr>
        <w:tabs>
          <w:tab w:val="left" w:pos="142"/>
          <w:tab w:val="center" w:pos="4253"/>
          <w:tab w:val="left" w:pos="8222"/>
        </w:tabs>
        <w:ind w:left="284" w:right="-143"/>
        <w:jc w:val="both"/>
        <w:rPr>
          <w:rFonts w:ascii="Arial" w:hAnsi="Arial" w:cs="Arial"/>
          <w:sz w:val="18"/>
          <w:szCs w:val="18"/>
        </w:rPr>
      </w:pPr>
    </w:p>
    <w:p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t>
      </w:r>
      <w:proofErr w:type="gramStart"/>
      <w:r w:rsidRPr="00C35A12">
        <w:rPr>
          <w:rFonts w:ascii="Arial" w:hAnsi="Arial" w:cs="Arial"/>
          <w:sz w:val="18"/>
          <w:szCs w:val="18"/>
        </w:rPr>
        <w:t>w</w:t>
      </w:r>
      <w:proofErr w:type="gramEnd"/>
      <w:r w:rsidRPr="00C35A12">
        <w:rPr>
          <w:rFonts w:ascii="Arial" w:hAnsi="Arial" w:cs="Arial"/>
          <w:sz w:val="18"/>
          <w:szCs w:val="18"/>
        </w:rPr>
        <w:t>’, might be weakly amplified</w:t>
      </w:r>
      <w:r w:rsidR="00AD4513" w:rsidRPr="00C35A12">
        <w:rPr>
          <w:rFonts w:ascii="Arial" w:hAnsi="Arial" w:cs="Arial"/>
          <w:sz w:val="18"/>
          <w:szCs w:val="18"/>
        </w:rPr>
        <w:t>.</w:t>
      </w:r>
    </w:p>
    <w:p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r w:rsidRPr="00F86249">
        <w:rPr>
          <w:rFonts w:ascii="Arial" w:hAnsi="Arial"/>
          <w:spacing w:val="-2"/>
          <w:sz w:val="18"/>
          <w:szCs w:val="18"/>
          <w:lang w:val="en-GB"/>
        </w:rPr>
        <w:t>‘?’, nucleotide sequence information not available for the primer matching sequence.</w:t>
      </w:r>
    </w:p>
    <w:p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rsidR="009B17B7" w:rsidRDefault="009B17B7" w:rsidP="00342B31">
      <w:pPr>
        <w:pStyle w:val="Sidfot"/>
        <w:tabs>
          <w:tab w:val="clear" w:pos="4153"/>
          <w:tab w:val="clear" w:pos="8306"/>
          <w:tab w:val="left" w:pos="-567"/>
        </w:tabs>
        <w:ind w:right="-29"/>
        <w:jc w:val="both"/>
        <w:rPr>
          <w:rFonts w:ascii="Arial" w:hAnsi="Arial" w:cs="Arial"/>
          <w:sz w:val="18"/>
          <w:szCs w:val="18"/>
        </w:rPr>
      </w:pPr>
    </w:p>
    <w:p w:rsidR="009B17B7" w:rsidRDefault="009B17B7" w:rsidP="00342B31">
      <w:pPr>
        <w:pStyle w:val="Sidfot"/>
        <w:tabs>
          <w:tab w:val="clear" w:pos="4153"/>
          <w:tab w:val="clear" w:pos="8306"/>
          <w:tab w:val="left" w:pos="-567"/>
        </w:tabs>
        <w:ind w:right="-29"/>
        <w:jc w:val="both"/>
        <w:rPr>
          <w:rFonts w:ascii="Arial" w:hAnsi="Arial" w:cs="Arial"/>
          <w:sz w:val="18"/>
          <w:szCs w:val="18"/>
        </w:rPr>
      </w:pPr>
    </w:p>
    <w:p w:rsidR="009B17B7" w:rsidRDefault="009B17B7" w:rsidP="00342B31">
      <w:pPr>
        <w:pStyle w:val="Sidfot"/>
        <w:tabs>
          <w:tab w:val="clear" w:pos="4153"/>
          <w:tab w:val="clear" w:pos="8306"/>
          <w:tab w:val="left" w:pos="-567"/>
        </w:tabs>
        <w:ind w:right="-29"/>
        <w:jc w:val="both"/>
        <w:rPr>
          <w:rFonts w:ascii="Arial" w:hAnsi="Arial" w:cs="Arial"/>
          <w:sz w:val="18"/>
          <w:szCs w:val="18"/>
        </w:rPr>
      </w:pPr>
    </w:p>
    <w:p w:rsidR="009B17B7" w:rsidRDefault="009B17B7" w:rsidP="00342B31">
      <w:pPr>
        <w:pStyle w:val="Sidfot"/>
        <w:tabs>
          <w:tab w:val="clear" w:pos="4153"/>
          <w:tab w:val="clear" w:pos="8306"/>
          <w:tab w:val="left" w:pos="-567"/>
        </w:tabs>
        <w:ind w:right="-29"/>
        <w:jc w:val="both"/>
        <w:rPr>
          <w:rFonts w:ascii="Arial" w:hAnsi="Arial" w:cs="Arial"/>
          <w:sz w:val="18"/>
          <w:szCs w:val="18"/>
        </w:rPr>
      </w:pPr>
    </w:p>
    <w:p w:rsidR="009B17B7" w:rsidRDefault="009B17B7" w:rsidP="00342B31">
      <w:pPr>
        <w:pStyle w:val="Sidfot"/>
        <w:tabs>
          <w:tab w:val="clear" w:pos="4153"/>
          <w:tab w:val="clear" w:pos="8306"/>
          <w:tab w:val="left" w:pos="-567"/>
        </w:tabs>
        <w:ind w:right="-29"/>
        <w:jc w:val="both"/>
        <w:rPr>
          <w:rFonts w:ascii="Arial" w:hAnsi="Arial" w:cs="Arial"/>
          <w:sz w:val="18"/>
          <w:szCs w:val="18"/>
        </w:rPr>
      </w:pPr>
    </w:p>
    <w:p w:rsidR="009E146C" w:rsidRDefault="009E146C" w:rsidP="0022226B">
      <w:pPr>
        <w:pStyle w:val="Brdtext2"/>
        <w:widowControl/>
        <w:tabs>
          <w:tab w:val="clear" w:pos="0"/>
          <w:tab w:val="clear" w:pos="2016"/>
          <w:tab w:val="clear" w:pos="4032"/>
          <w:tab w:val="clear" w:pos="4608"/>
          <w:tab w:val="clear" w:pos="5040"/>
        </w:tabs>
        <w:rPr>
          <w:b/>
          <w:spacing w:val="-3"/>
          <w:sz w:val="24"/>
          <w:szCs w:val="24"/>
        </w:rPr>
      </w:pPr>
    </w:p>
    <w:p w:rsidR="0064439C" w:rsidRDefault="003D21F4" w:rsidP="00663171">
      <w:pPr>
        <w:pStyle w:val="Brdtext2"/>
        <w:widowControl/>
        <w:tabs>
          <w:tab w:val="clear" w:pos="0"/>
          <w:tab w:val="clear" w:pos="2016"/>
          <w:tab w:val="clear" w:pos="4032"/>
          <w:tab w:val="clear" w:pos="4608"/>
          <w:tab w:val="clear" w:pos="5040"/>
        </w:tabs>
        <w:jc w:val="center"/>
        <w:rPr>
          <w:b/>
          <w:spacing w:val="-3"/>
          <w:sz w:val="24"/>
          <w:szCs w:val="24"/>
        </w:rPr>
      </w:pPr>
      <w:r w:rsidRPr="00CC495C">
        <w:rPr>
          <w:b/>
          <w:spacing w:val="-3"/>
          <w:sz w:val="24"/>
          <w:szCs w:val="24"/>
        </w:rPr>
        <w:lastRenderedPageBreak/>
        <w:t xml:space="preserve">DR </w:t>
      </w:r>
      <w:proofErr w:type="gramStart"/>
      <w:r w:rsidRPr="00CC495C">
        <w:rPr>
          <w:b/>
          <w:spacing w:val="-3"/>
          <w:sz w:val="24"/>
          <w:szCs w:val="24"/>
        </w:rPr>
        <w:t>low</w:t>
      </w:r>
      <w:proofErr w:type="gramEnd"/>
      <w:r w:rsidRPr="00CC495C">
        <w:rPr>
          <w:b/>
          <w:spacing w:val="-3"/>
          <w:sz w:val="24"/>
          <w:szCs w:val="24"/>
        </w:rPr>
        <w:t xml:space="preserve"> resolution</w:t>
      </w:r>
      <w:r w:rsidR="0017681C" w:rsidRPr="00CC495C">
        <w:rPr>
          <w:b/>
          <w:spacing w:val="-3"/>
          <w:sz w:val="24"/>
          <w:szCs w:val="24"/>
        </w:rPr>
        <w:t xml:space="preserve"> Interpretation Table</w:t>
      </w:r>
    </w:p>
    <w:p w:rsidR="00286797" w:rsidRDefault="00EF4C26" w:rsidP="00663171">
      <w:pPr>
        <w:pStyle w:val="Brdtext2"/>
        <w:widowControl/>
        <w:tabs>
          <w:tab w:val="clear" w:pos="0"/>
          <w:tab w:val="clear" w:pos="2016"/>
          <w:tab w:val="clear" w:pos="4032"/>
          <w:tab w:val="clear" w:pos="4608"/>
          <w:tab w:val="clear" w:pos="5040"/>
        </w:tabs>
        <w:jc w:val="center"/>
        <w:rPr>
          <w:b/>
          <w:spacing w:val="-3"/>
          <w:sz w:val="24"/>
          <w:szCs w:val="24"/>
        </w:rPr>
      </w:pPr>
      <w:r w:rsidRPr="00EF4C26">
        <w:rPr>
          <w:noProof/>
          <w:lang w:val="sv-SE" w:eastAsia="sv-SE"/>
        </w:rPr>
        <w:drawing>
          <wp:anchor distT="0" distB="0" distL="114300" distR="114300" simplePos="0" relativeHeight="251668992" behindDoc="0" locked="0" layoutInCell="1" allowOverlap="1" wp14:anchorId="005E207E" wp14:editId="36112DAF">
            <wp:simplePos x="0" y="0"/>
            <wp:positionH relativeFrom="column">
              <wp:posOffset>50165</wp:posOffset>
            </wp:positionH>
            <wp:positionV relativeFrom="paragraph">
              <wp:posOffset>201930</wp:posOffset>
            </wp:positionV>
            <wp:extent cx="6415200" cy="7722000"/>
            <wp:effectExtent l="0" t="0" r="508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5200" cy="77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439C" w:rsidRDefault="0064439C" w:rsidP="0064439C">
      <w:pPr>
        <w:pStyle w:val="Brdtext2"/>
        <w:widowControl/>
        <w:tabs>
          <w:tab w:val="clear" w:pos="0"/>
          <w:tab w:val="clear" w:pos="2016"/>
          <w:tab w:val="clear" w:pos="4032"/>
          <w:tab w:val="clear" w:pos="4608"/>
          <w:tab w:val="clear" w:pos="5040"/>
        </w:tabs>
        <w:ind w:firstLine="142"/>
        <w:jc w:val="center"/>
      </w:pPr>
    </w:p>
    <w:p w:rsidR="0064439C" w:rsidRDefault="003C12B2" w:rsidP="000B0C80">
      <w:pPr>
        <w:pStyle w:val="Brdtext2"/>
        <w:widowControl/>
        <w:tabs>
          <w:tab w:val="clear" w:pos="0"/>
          <w:tab w:val="clear" w:pos="2016"/>
          <w:tab w:val="clear" w:pos="4032"/>
          <w:tab w:val="clear" w:pos="4608"/>
          <w:tab w:val="clear" w:pos="5040"/>
        </w:tabs>
        <w:ind w:firstLine="142"/>
        <w:rPr>
          <w:b/>
          <w:spacing w:val="-3"/>
          <w:sz w:val="24"/>
          <w:szCs w:val="24"/>
        </w:rPr>
      </w:pPr>
      <w:r w:rsidRPr="0064439C">
        <w:br w:type="page"/>
      </w:r>
    </w:p>
    <w:p w:rsidR="00CF265D" w:rsidRDefault="00BD09FD" w:rsidP="00764A29">
      <w:pPr>
        <w:pStyle w:val="Brdtext2"/>
        <w:widowControl/>
        <w:tabs>
          <w:tab w:val="clear" w:pos="0"/>
          <w:tab w:val="clear" w:pos="2016"/>
          <w:tab w:val="clear" w:pos="4032"/>
          <w:tab w:val="clear" w:pos="4608"/>
          <w:tab w:val="clear" w:pos="5040"/>
        </w:tabs>
      </w:pPr>
      <w:r w:rsidRPr="00BD09FD">
        <w:rPr>
          <w:noProof/>
          <w:lang w:val="sv-SE" w:eastAsia="sv-SE"/>
        </w:rPr>
        <w:lastRenderedPageBreak/>
        <w:drawing>
          <wp:anchor distT="0" distB="0" distL="114300" distR="114300" simplePos="0" relativeHeight="251670016" behindDoc="0" locked="0" layoutInCell="1" allowOverlap="1">
            <wp:simplePos x="0" y="0"/>
            <wp:positionH relativeFrom="column">
              <wp:posOffset>50165</wp:posOffset>
            </wp:positionH>
            <wp:positionV relativeFrom="paragraph">
              <wp:posOffset>0</wp:posOffset>
            </wp:positionV>
            <wp:extent cx="6415200" cy="8010000"/>
            <wp:effectExtent l="0" t="0" r="5080" b="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5200" cy="80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4F28" w:rsidRDefault="000C4F28"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r w:rsidRPr="00BD09FD">
        <w:rPr>
          <w:noProof/>
          <w:lang w:val="sv-SE" w:eastAsia="sv-SE"/>
        </w:rPr>
        <w:lastRenderedPageBreak/>
        <w:drawing>
          <wp:anchor distT="0" distB="0" distL="114300" distR="114300" simplePos="0" relativeHeight="251671040" behindDoc="0" locked="0" layoutInCell="1" allowOverlap="1">
            <wp:simplePos x="0" y="0"/>
            <wp:positionH relativeFrom="column">
              <wp:posOffset>21590</wp:posOffset>
            </wp:positionH>
            <wp:positionV relativeFrom="paragraph">
              <wp:posOffset>0</wp:posOffset>
            </wp:positionV>
            <wp:extent cx="6418800" cy="7448400"/>
            <wp:effectExtent l="0" t="0" r="1270" b="635"/>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8800" cy="74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BD09FD" w:rsidP="00764A29">
      <w:pPr>
        <w:pStyle w:val="Brdtext2"/>
        <w:widowControl/>
        <w:tabs>
          <w:tab w:val="clear" w:pos="0"/>
          <w:tab w:val="clear" w:pos="2016"/>
          <w:tab w:val="clear" w:pos="4032"/>
          <w:tab w:val="clear" w:pos="4608"/>
          <w:tab w:val="clear" w:pos="5040"/>
        </w:tabs>
      </w:pPr>
    </w:p>
    <w:p w:rsidR="00BD09FD" w:rsidRDefault="00D94BFA" w:rsidP="00764A29">
      <w:pPr>
        <w:pStyle w:val="Brdtext2"/>
        <w:widowControl/>
        <w:tabs>
          <w:tab w:val="clear" w:pos="0"/>
          <w:tab w:val="clear" w:pos="2016"/>
          <w:tab w:val="clear" w:pos="4032"/>
          <w:tab w:val="clear" w:pos="4608"/>
          <w:tab w:val="clear" w:pos="5040"/>
        </w:tabs>
      </w:pPr>
      <w:r w:rsidRPr="00D94BFA">
        <w:rPr>
          <w:noProof/>
          <w:lang w:val="sv-SE" w:eastAsia="sv-SE"/>
        </w:rPr>
        <w:lastRenderedPageBreak/>
        <w:drawing>
          <wp:anchor distT="0" distB="0" distL="114300" distR="114300" simplePos="0" relativeHeight="251677184" behindDoc="0" locked="0" layoutInCell="1" allowOverlap="1">
            <wp:simplePos x="542925" y="1076325"/>
            <wp:positionH relativeFrom="page">
              <wp:align>center</wp:align>
            </wp:positionH>
            <wp:positionV relativeFrom="paragraph">
              <wp:posOffset>-3810</wp:posOffset>
            </wp:positionV>
            <wp:extent cx="6408000" cy="80964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8000" cy="809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9FD" w:rsidRDefault="00BD09FD" w:rsidP="00764A29">
      <w:pPr>
        <w:pStyle w:val="Brdtext2"/>
        <w:widowControl/>
        <w:tabs>
          <w:tab w:val="clear" w:pos="0"/>
          <w:tab w:val="clear" w:pos="2016"/>
          <w:tab w:val="clear" w:pos="4032"/>
          <w:tab w:val="clear" w:pos="4608"/>
          <w:tab w:val="clear" w:pos="5040"/>
        </w:tabs>
      </w:pPr>
    </w:p>
    <w:p w:rsidR="007C2A06" w:rsidRDefault="007C2A06" w:rsidP="005F2666">
      <w:pPr>
        <w:pStyle w:val="Brdtext2"/>
        <w:widowControl/>
        <w:tabs>
          <w:tab w:val="clear" w:pos="0"/>
          <w:tab w:val="clear" w:pos="2016"/>
          <w:tab w:val="clear" w:pos="4032"/>
          <w:tab w:val="clear" w:pos="4608"/>
          <w:tab w:val="clear" w:pos="5040"/>
        </w:tabs>
      </w:pPr>
      <w:bookmarkStart w:id="0" w:name="_GoBack"/>
      <w:r w:rsidRPr="007C2A06">
        <w:lastRenderedPageBreak/>
        <w:drawing>
          <wp:anchor distT="0" distB="0" distL="114300" distR="114300" simplePos="0" relativeHeight="251679232" behindDoc="0" locked="0" layoutInCell="1" allowOverlap="1">
            <wp:simplePos x="0" y="0"/>
            <wp:positionH relativeFrom="page">
              <wp:align>center</wp:align>
            </wp:positionH>
            <wp:positionV relativeFrom="page">
              <wp:posOffset>1043940</wp:posOffset>
            </wp:positionV>
            <wp:extent cx="6444000" cy="8236800"/>
            <wp:effectExtent l="0" t="0" r="0"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44000" cy="8236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br w:type="page"/>
      </w:r>
    </w:p>
    <w:p w:rsidR="00764A29" w:rsidRPr="00DC6502" w:rsidRDefault="00846471" w:rsidP="005F2666">
      <w:pPr>
        <w:pStyle w:val="Brdtext2"/>
        <w:widowControl/>
        <w:tabs>
          <w:tab w:val="clear" w:pos="0"/>
          <w:tab w:val="clear" w:pos="2016"/>
          <w:tab w:val="clear" w:pos="4032"/>
          <w:tab w:val="clear" w:pos="4608"/>
          <w:tab w:val="clear" w:pos="5040"/>
        </w:tabs>
      </w:pPr>
      <w:r w:rsidRPr="00846471">
        <w:rPr>
          <w:noProof/>
          <w:lang w:val="sv-SE" w:eastAsia="sv-SE"/>
        </w:rPr>
        <w:lastRenderedPageBreak/>
        <w:drawing>
          <wp:anchor distT="0" distB="0" distL="114300" distR="114300" simplePos="0" relativeHeight="251678208" behindDoc="0" locked="0" layoutInCell="1" allowOverlap="1">
            <wp:simplePos x="0" y="0"/>
            <wp:positionH relativeFrom="column">
              <wp:posOffset>-1298</wp:posOffset>
            </wp:positionH>
            <wp:positionV relativeFrom="paragraph">
              <wp:posOffset>578</wp:posOffset>
            </wp:positionV>
            <wp:extent cx="6444000" cy="8046000"/>
            <wp:effectExtent l="0" t="0" r="0"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44000" cy="804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4BFA" w:rsidRDefault="00D94BFA" w:rsidP="005F2666">
      <w:pPr>
        <w:pStyle w:val="Brdtext2"/>
        <w:widowControl/>
        <w:tabs>
          <w:tab w:val="clear" w:pos="0"/>
          <w:tab w:val="clear" w:pos="2016"/>
          <w:tab w:val="clear" w:pos="4032"/>
          <w:tab w:val="clear" w:pos="4608"/>
          <w:tab w:val="clear" w:pos="5040"/>
        </w:tabs>
        <w:rPr>
          <w:b/>
          <w:spacing w:val="-3"/>
          <w:sz w:val="18"/>
          <w:szCs w:val="18"/>
          <w:vertAlign w:val="superscript"/>
        </w:rPr>
      </w:pPr>
    </w:p>
    <w:p w:rsidR="00846471" w:rsidRDefault="00846471" w:rsidP="005F2666">
      <w:pPr>
        <w:pStyle w:val="Brdtext2"/>
        <w:widowControl/>
        <w:tabs>
          <w:tab w:val="clear" w:pos="0"/>
          <w:tab w:val="clear" w:pos="2016"/>
          <w:tab w:val="clear" w:pos="4032"/>
          <w:tab w:val="clear" w:pos="4608"/>
          <w:tab w:val="clear" w:pos="5040"/>
        </w:tabs>
        <w:rPr>
          <w:b/>
          <w:spacing w:val="-3"/>
          <w:sz w:val="18"/>
          <w:szCs w:val="18"/>
          <w:vertAlign w:val="superscript"/>
        </w:rPr>
      </w:pPr>
    </w:p>
    <w:p w:rsidR="000C4F28" w:rsidRPr="000C4F28" w:rsidRDefault="000C4F28" w:rsidP="005F2666">
      <w:pPr>
        <w:pStyle w:val="Brdtext2"/>
        <w:widowControl/>
        <w:tabs>
          <w:tab w:val="clear" w:pos="0"/>
          <w:tab w:val="clear" w:pos="2016"/>
          <w:tab w:val="clear" w:pos="4032"/>
          <w:tab w:val="clear" w:pos="4608"/>
          <w:tab w:val="clear" w:pos="5040"/>
        </w:tabs>
        <w:rPr>
          <w:spacing w:val="-3"/>
          <w:sz w:val="18"/>
          <w:szCs w:val="18"/>
        </w:rPr>
      </w:pPr>
      <w:r>
        <w:rPr>
          <w:b/>
          <w:spacing w:val="-3"/>
          <w:sz w:val="18"/>
          <w:szCs w:val="18"/>
          <w:vertAlign w:val="superscript"/>
        </w:rPr>
        <w:lastRenderedPageBreak/>
        <w:t>1</w:t>
      </w:r>
      <w:r w:rsidRPr="000C4F28">
        <w:rPr>
          <w:spacing w:val="-3"/>
          <w:sz w:val="18"/>
          <w:szCs w:val="18"/>
        </w:rPr>
        <w:t>DRB alleles listed</w:t>
      </w:r>
      <w:r w:rsidR="00D16FD2">
        <w:rPr>
          <w:spacing w:val="-3"/>
          <w:sz w:val="18"/>
          <w:szCs w:val="18"/>
        </w:rPr>
        <w:t xml:space="preserve"> on the I</w:t>
      </w:r>
      <w:r w:rsidR="005F2666">
        <w:rPr>
          <w:spacing w:val="-3"/>
          <w:sz w:val="18"/>
          <w:szCs w:val="18"/>
        </w:rPr>
        <w:t>MGT/HLA web page 2016-April-15, release 3.24</w:t>
      </w:r>
      <w:r w:rsidR="006B7107">
        <w:rPr>
          <w:spacing w:val="-3"/>
          <w:sz w:val="18"/>
          <w:szCs w:val="18"/>
        </w:rPr>
        <w:t>.0</w:t>
      </w:r>
      <w:r w:rsidRPr="000C4F28">
        <w:rPr>
          <w:spacing w:val="-3"/>
          <w:sz w:val="18"/>
          <w:szCs w:val="18"/>
        </w:rPr>
        <w:t xml:space="preserve">, </w:t>
      </w:r>
      <w:hyperlink r:id="rId25" w:history="1">
        <w:r w:rsidRPr="000C4F28">
          <w:rPr>
            <w:rStyle w:val="Hyperlnk"/>
            <w:spacing w:val="-3"/>
            <w:sz w:val="18"/>
            <w:szCs w:val="18"/>
          </w:rPr>
          <w:t>www.ebi.ac.uk/imgt/hla</w:t>
        </w:r>
      </w:hyperlink>
      <w:r w:rsidRPr="000C4F28">
        <w:rPr>
          <w:spacing w:val="-3"/>
          <w:sz w:val="18"/>
          <w:szCs w:val="18"/>
        </w:rPr>
        <w:t>.</w:t>
      </w:r>
    </w:p>
    <w:p w:rsidR="000C4F28" w:rsidRPr="000C4F28" w:rsidRDefault="000C4F28" w:rsidP="005F2666">
      <w:pPr>
        <w:pStyle w:val="Brdtext2"/>
        <w:widowControl/>
        <w:tabs>
          <w:tab w:val="clear" w:pos="0"/>
          <w:tab w:val="clear" w:pos="2016"/>
          <w:tab w:val="clear" w:pos="4032"/>
          <w:tab w:val="clear" w:pos="4608"/>
          <w:tab w:val="clear" w:pos="5040"/>
        </w:tabs>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6" w:history="1">
        <w:r w:rsidRPr="000C4F28">
          <w:rPr>
            <w:rStyle w:val="Hyperlnk"/>
            <w:rFonts w:cs="Arial"/>
            <w:sz w:val="18"/>
            <w:szCs w:val="18"/>
          </w:rPr>
          <w:t>http://hla.alleles.org/alleles/deleted.html</w:t>
        </w:r>
      </w:hyperlink>
      <w:r w:rsidRPr="000C4F28">
        <w:rPr>
          <w:rFonts w:cs="Arial"/>
          <w:spacing w:val="-3"/>
          <w:sz w:val="18"/>
          <w:szCs w:val="18"/>
        </w:rPr>
        <w:t>.</w:t>
      </w:r>
    </w:p>
    <w:p w:rsidR="000C4F28" w:rsidRPr="00FB46B5" w:rsidRDefault="000C4F28" w:rsidP="005F2666">
      <w:pPr>
        <w:tabs>
          <w:tab w:val="center" w:pos="4253"/>
        </w:tabs>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rsidR="00526BEB" w:rsidRPr="00FB46B5" w:rsidRDefault="00526BEB" w:rsidP="001C1823">
      <w:pPr>
        <w:tabs>
          <w:tab w:val="center" w:pos="4253"/>
          <w:tab w:val="left" w:pos="8222"/>
        </w:tabs>
        <w:ind w:right="283"/>
        <w:jc w:val="both"/>
        <w:rPr>
          <w:rFonts w:ascii="Arial" w:hAnsi="Arial" w:cs="Arial"/>
          <w:sz w:val="18"/>
          <w:szCs w:val="18"/>
        </w:rPr>
      </w:pPr>
    </w:p>
    <w:p w:rsidR="001C1823" w:rsidRPr="0087445A" w:rsidRDefault="001C1823" w:rsidP="001C1823">
      <w:pPr>
        <w:tabs>
          <w:tab w:val="center" w:pos="4253"/>
          <w:tab w:val="left" w:pos="8222"/>
        </w:tabs>
        <w:ind w:right="283"/>
        <w:jc w:val="both"/>
        <w:rPr>
          <w:rFonts w:ascii="Arial" w:hAnsi="Arial"/>
          <w:spacing w:val="-2"/>
          <w:sz w:val="18"/>
          <w:szCs w:val="18"/>
        </w:rPr>
      </w:pPr>
      <w:r w:rsidRPr="00C35A12">
        <w:rPr>
          <w:rFonts w:ascii="Arial" w:hAnsi="Arial" w:cs="Arial"/>
          <w:sz w:val="18"/>
          <w:szCs w:val="18"/>
        </w:rPr>
        <w:t>‘</w:t>
      </w:r>
      <w:proofErr w:type="gramStart"/>
      <w:r w:rsidRPr="00C35A12">
        <w:rPr>
          <w:rFonts w:ascii="Arial" w:hAnsi="Arial" w:cs="Arial"/>
          <w:sz w:val="18"/>
          <w:szCs w:val="18"/>
        </w:rPr>
        <w:t>w</w:t>
      </w:r>
      <w:proofErr w:type="gramEnd"/>
      <w:r w:rsidRPr="00C35A12">
        <w:rPr>
          <w:rFonts w:ascii="Arial" w:hAnsi="Arial" w:cs="Arial"/>
          <w:sz w:val="18"/>
          <w:szCs w:val="18"/>
        </w:rPr>
        <w:t>’, might be weakly amplified.</w:t>
      </w:r>
    </w:p>
    <w:p w:rsidR="002138B4" w:rsidRPr="002138B4" w:rsidRDefault="002138B4" w:rsidP="001C1823">
      <w:pPr>
        <w:tabs>
          <w:tab w:val="left" w:pos="-284"/>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29"/>
        <w:jc w:val="both"/>
        <w:rPr>
          <w:rFonts w:ascii="Arial" w:hAnsi="Arial" w:cs="Arial"/>
          <w:spacing w:val="-2"/>
          <w:sz w:val="18"/>
          <w:szCs w:val="18"/>
        </w:rPr>
      </w:pPr>
      <w:r w:rsidRPr="002138B4">
        <w:rPr>
          <w:rFonts w:ascii="Arial" w:hAnsi="Arial" w:cs="Arial"/>
          <w:spacing w:val="-2"/>
          <w:sz w:val="18"/>
          <w:szCs w:val="18"/>
        </w:rPr>
        <w:t>‘?’, nucleotide sequence information not available for the primer matching sequence.</w:t>
      </w:r>
    </w:p>
    <w:p w:rsidR="002138B4" w:rsidRDefault="002138B4"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FB46B5" w:rsidRDefault="00FB46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8B5514" w:rsidRDefault="008B5514" w:rsidP="00D47FAB">
      <w:pPr>
        <w:suppressAutoHyphens/>
        <w:rPr>
          <w:rFonts w:ascii="Arial" w:hAnsi="Arial" w:cs="Arial"/>
          <w:noProof/>
          <w:sz w:val="18"/>
          <w:szCs w:val="18"/>
        </w:rPr>
      </w:pPr>
    </w:p>
    <w:p w:rsidR="008B5514" w:rsidRDefault="008B5514" w:rsidP="00D47FAB">
      <w:pPr>
        <w:suppressAutoHyphens/>
        <w:rPr>
          <w:rFonts w:ascii="Arial" w:hAnsi="Arial" w:cs="Arial"/>
          <w:noProof/>
          <w:sz w:val="18"/>
          <w:szCs w:val="18"/>
        </w:rPr>
      </w:pPr>
    </w:p>
    <w:p w:rsidR="008B5514" w:rsidRDefault="008B5514" w:rsidP="00D47FAB">
      <w:pPr>
        <w:suppressAutoHyphens/>
        <w:rPr>
          <w:rFonts w:ascii="Arial" w:hAnsi="Arial" w:cs="Arial"/>
          <w:noProof/>
          <w:sz w:val="18"/>
          <w:szCs w:val="18"/>
        </w:rPr>
      </w:pPr>
    </w:p>
    <w:p w:rsidR="00754BB5" w:rsidRDefault="00754BB5" w:rsidP="00D47FAB">
      <w:pPr>
        <w:suppressAutoHyphens/>
        <w:rPr>
          <w:rFonts w:ascii="Arial" w:hAnsi="Arial" w:cs="Arial"/>
          <w:noProof/>
          <w:sz w:val="18"/>
          <w:szCs w:val="18"/>
        </w:rPr>
      </w:pPr>
    </w:p>
    <w:p w:rsidR="00FB46B5" w:rsidRPr="00754BB5" w:rsidRDefault="00FB46B5" w:rsidP="00D47FAB">
      <w:pPr>
        <w:suppressAutoHyphens/>
        <w:rPr>
          <w:rFonts w:ascii="Arial" w:hAnsi="Arial" w:cs="Arial"/>
          <w:noProof/>
          <w:sz w:val="18"/>
          <w:szCs w:val="18"/>
        </w:rPr>
      </w:pPr>
    </w:p>
    <w:p w:rsidR="00754BB5" w:rsidRPr="00726B56" w:rsidRDefault="00754BB5" w:rsidP="00754BB5">
      <w:pPr>
        <w:tabs>
          <w:tab w:val="left" w:pos="284"/>
          <w:tab w:val="center" w:pos="993"/>
          <w:tab w:val="center" w:pos="2304"/>
          <w:tab w:val="center" w:pos="3312"/>
          <w:tab w:val="center" w:pos="5328"/>
          <w:tab w:val="center" w:pos="6336"/>
          <w:tab w:val="center" w:pos="7344"/>
          <w:tab w:val="center" w:pos="8352"/>
          <w:tab w:val="center" w:pos="8789"/>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726B56">
        <w:rPr>
          <w:rFonts w:ascii="Arial" w:hAnsi="Arial"/>
          <w:sz w:val="18"/>
          <w:szCs w:val="18"/>
        </w:rPr>
        <w:t>Changes in revision R01 compared to R00:</w:t>
      </w:r>
    </w:p>
    <w:p w:rsidR="00754BB5" w:rsidRPr="00726B56" w:rsidRDefault="00754BB5" w:rsidP="00754BB5">
      <w:pPr>
        <w:pStyle w:val="Liststycke"/>
        <w:numPr>
          <w:ilvl w:val="0"/>
          <w:numId w:val="9"/>
        </w:numPr>
        <w:tabs>
          <w:tab w:val="left" w:pos="0"/>
          <w:tab w:val="left" w:pos="426"/>
          <w:tab w:val="left" w:pos="3024"/>
          <w:tab w:val="left" w:pos="4284"/>
          <w:tab w:val="left" w:pos="5760"/>
          <w:tab w:val="center" w:pos="8789"/>
        </w:tabs>
        <w:suppressAutoHyphens/>
        <w:jc w:val="both"/>
        <w:rPr>
          <w:rFonts w:ascii="Arial" w:hAnsi="Arial" w:cs="Arial"/>
          <w:spacing w:val="-3"/>
          <w:sz w:val="18"/>
          <w:szCs w:val="18"/>
          <w:lang w:val="en-US"/>
        </w:rPr>
      </w:pPr>
      <w:r w:rsidRPr="00726B56">
        <w:rPr>
          <w:rFonts w:ascii="Arial" w:hAnsi="Arial" w:cs="Arial"/>
          <w:spacing w:val="-3"/>
          <w:sz w:val="18"/>
          <w:szCs w:val="18"/>
          <w:lang w:val="en-US"/>
        </w:rPr>
        <w:t>Due to sharing of sequence motifs in codon 38 and 47, DRB3*01:14 will also be amplified in primer mixes 1</w:t>
      </w:r>
      <w:r w:rsidR="00D734BF" w:rsidRPr="00726B56">
        <w:rPr>
          <w:rFonts w:ascii="Arial" w:hAnsi="Arial" w:cs="Arial"/>
          <w:spacing w:val="-3"/>
          <w:sz w:val="18"/>
          <w:szCs w:val="18"/>
          <w:lang w:val="en-US"/>
        </w:rPr>
        <w:t>9</w:t>
      </w:r>
      <w:r w:rsidRPr="00726B56">
        <w:rPr>
          <w:rFonts w:ascii="Arial" w:hAnsi="Arial" w:cs="Arial"/>
          <w:spacing w:val="-3"/>
          <w:sz w:val="18"/>
          <w:szCs w:val="18"/>
          <w:lang w:val="en-US"/>
        </w:rPr>
        <w:t xml:space="preserve">, </w:t>
      </w:r>
      <w:r w:rsidR="00D734BF" w:rsidRPr="00726B56">
        <w:rPr>
          <w:rFonts w:ascii="Arial" w:hAnsi="Arial" w:cs="Arial"/>
          <w:spacing w:val="-3"/>
          <w:sz w:val="18"/>
          <w:szCs w:val="18"/>
          <w:lang w:val="en-US"/>
        </w:rPr>
        <w:t>20</w:t>
      </w:r>
      <w:r w:rsidRPr="00726B56">
        <w:rPr>
          <w:rFonts w:ascii="Arial" w:hAnsi="Arial" w:cs="Arial"/>
          <w:spacing w:val="-3"/>
          <w:sz w:val="18"/>
          <w:szCs w:val="18"/>
          <w:lang w:val="en-US"/>
        </w:rPr>
        <w:t xml:space="preserve"> and </w:t>
      </w:r>
      <w:r w:rsidR="00D734BF" w:rsidRPr="00726B56">
        <w:rPr>
          <w:rFonts w:ascii="Arial" w:hAnsi="Arial" w:cs="Arial"/>
          <w:spacing w:val="-3"/>
          <w:sz w:val="18"/>
          <w:szCs w:val="18"/>
          <w:lang w:val="en-US"/>
        </w:rPr>
        <w:t>31</w:t>
      </w:r>
      <w:r w:rsidRPr="00726B56">
        <w:rPr>
          <w:rFonts w:ascii="Arial" w:hAnsi="Arial" w:cs="Arial"/>
          <w:spacing w:val="-3"/>
          <w:sz w:val="18"/>
          <w:szCs w:val="18"/>
          <w:lang w:val="en-US"/>
        </w:rPr>
        <w:t xml:space="preserve"> and DRB3*01:23 and *02:32 in mix 1</w:t>
      </w:r>
      <w:r w:rsidR="005C43BA" w:rsidRPr="00726B56">
        <w:rPr>
          <w:rFonts w:ascii="Arial" w:hAnsi="Arial" w:cs="Arial"/>
          <w:spacing w:val="-3"/>
          <w:sz w:val="18"/>
          <w:szCs w:val="18"/>
          <w:lang w:val="en-US"/>
        </w:rPr>
        <w:t>9</w:t>
      </w:r>
      <w:r w:rsidRPr="00726B56">
        <w:rPr>
          <w:rFonts w:ascii="Arial" w:hAnsi="Arial" w:cs="Arial"/>
          <w:spacing w:val="-3"/>
          <w:sz w:val="18"/>
          <w:szCs w:val="18"/>
          <w:lang w:val="en-US"/>
        </w:rPr>
        <w:t xml:space="preserve">, in addition to primer mix </w:t>
      </w:r>
      <w:r w:rsidR="00D734BF" w:rsidRPr="00726B56">
        <w:rPr>
          <w:rFonts w:ascii="Arial" w:hAnsi="Arial" w:cs="Arial"/>
          <w:spacing w:val="-3"/>
          <w:sz w:val="18"/>
          <w:szCs w:val="18"/>
          <w:lang w:val="en-US"/>
        </w:rPr>
        <w:t>43</w:t>
      </w:r>
      <w:r w:rsidRPr="00726B56">
        <w:rPr>
          <w:rFonts w:ascii="Arial" w:hAnsi="Arial" w:cs="Arial"/>
          <w:spacing w:val="-3"/>
          <w:sz w:val="18"/>
          <w:szCs w:val="18"/>
          <w:lang w:val="en-US"/>
        </w:rPr>
        <w:t>.</w:t>
      </w:r>
    </w:p>
    <w:p w:rsidR="00754BB5" w:rsidRPr="00726B56" w:rsidRDefault="00754BB5" w:rsidP="00754BB5">
      <w:pPr>
        <w:pStyle w:val="Liststycke"/>
        <w:numPr>
          <w:ilvl w:val="0"/>
          <w:numId w:val="9"/>
        </w:numPr>
        <w:tabs>
          <w:tab w:val="left" w:pos="0"/>
          <w:tab w:val="left" w:pos="426"/>
          <w:tab w:val="left" w:pos="3024"/>
          <w:tab w:val="left" w:pos="4284"/>
          <w:tab w:val="left" w:pos="5760"/>
          <w:tab w:val="center" w:pos="8789"/>
        </w:tabs>
        <w:suppressAutoHyphens/>
        <w:jc w:val="both"/>
        <w:rPr>
          <w:rFonts w:ascii="Arial" w:hAnsi="Arial" w:cs="Arial"/>
          <w:spacing w:val="-3"/>
          <w:sz w:val="18"/>
          <w:szCs w:val="18"/>
          <w:lang w:val="en-US"/>
        </w:rPr>
      </w:pPr>
      <w:r w:rsidRPr="00726B56">
        <w:rPr>
          <w:rFonts w:ascii="Arial" w:hAnsi="Arial" w:cs="Arial"/>
          <w:spacing w:val="-3"/>
          <w:sz w:val="18"/>
          <w:szCs w:val="18"/>
          <w:lang w:val="en-US"/>
        </w:rPr>
        <w:t xml:space="preserve">The DRB1*13:02:02 allele is amplified in primer mix </w:t>
      </w:r>
      <w:r w:rsidR="00D734BF" w:rsidRPr="00726B56">
        <w:rPr>
          <w:rFonts w:ascii="Arial" w:hAnsi="Arial" w:cs="Arial"/>
          <w:spacing w:val="-3"/>
          <w:sz w:val="18"/>
          <w:szCs w:val="18"/>
          <w:lang w:val="en-US"/>
        </w:rPr>
        <w:t>20</w:t>
      </w:r>
      <w:r w:rsidRPr="00726B56">
        <w:rPr>
          <w:rFonts w:ascii="Arial" w:hAnsi="Arial" w:cs="Arial"/>
          <w:spacing w:val="-1"/>
          <w:sz w:val="18"/>
          <w:szCs w:val="18"/>
          <w:lang w:val="en-US"/>
        </w:rPr>
        <w:t>.</w:t>
      </w:r>
    </w:p>
    <w:p w:rsidR="00754BB5" w:rsidRPr="00726B56" w:rsidRDefault="00754BB5" w:rsidP="00754BB5">
      <w:pPr>
        <w:pStyle w:val="Liststycke"/>
        <w:tabs>
          <w:tab w:val="left" w:pos="0"/>
          <w:tab w:val="left" w:pos="993"/>
          <w:tab w:val="left" w:pos="3024"/>
          <w:tab w:val="left" w:pos="4284"/>
          <w:tab w:val="left" w:pos="5760"/>
          <w:tab w:val="center" w:pos="8789"/>
        </w:tabs>
        <w:suppressAutoHyphens/>
        <w:ind w:left="0"/>
        <w:jc w:val="both"/>
        <w:rPr>
          <w:rFonts w:ascii="Arial" w:hAnsi="Arial" w:cs="Arial"/>
          <w:spacing w:val="-3"/>
          <w:sz w:val="18"/>
          <w:szCs w:val="18"/>
          <w:lang w:val="en-US"/>
        </w:rPr>
      </w:pPr>
      <w:r w:rsidRPr="00726B56">
        <w:rPr>
          <w:rFonts w:ascii="Arial" w:hAnsi="Arial" w:cs="Arial"/>
          <w:sz w:val="18"/>
          <w:szCs w:val="18"/>
        </w:rPr>
        <w:t>The Specificity and Interpretation Tables have been changed.</w:t>
      </w:r>
    </w:p>
    <w:p w:rsidR="00726B56" w:rsidRPr="00726B56" w:rsidRDefault="00726B56" w:rsidP="00726B56">
      <w:pPr>
        <w:tabs>
          <w:tab w:val="left" w:pos="284"/>
          <w:tab w:val="center" w:pos="993"/>
          <w:tab w:val="center" w:pos="2304"/>
          <w:tab w:val="center" w:pos="3312"/>
          <w:tab w:val="center" w:pos="5328"/>
          <w:tab w:val="center" w:pos="6336"/>
          <w:tab w:val="center" w:pos="7344"/>
          <w:tab w:val="center" w:pos="8352"/>
          <w:tab w:val="center" w:pos="8789"/>
          <w:tab w:val="center" w:pos="10368"/>
          <w:tab w:val="center" w:pos="11376"/>
          <w:tab w:val="center" w:pos="12384"/>
          <w:tab w:val="center" w:pos="13392"/>
          <w:tab w:val="center" w:pos="13680"/>
          <w:tab w:val="center" w:pos="14400"/>
          <w:tab w:val="center" w:pos="15120"/>
        </w:tabs>
        <w:jc w:val="both"/>
        <w:rPr>
          <w:rFonts w:ascii="Arial" w:hAnsi="Arial"/>
          <w:sz w:val="18"/>
          <w:szCs w:val="18"/>
        </w:rPr>
      </w:pPr>
      <w:r w:rsidRPr="00726B56">
        <w:rPr>
          <w:rFonts w:ascii="Arial" w:hAnsi="Arial"/>
          <w:sz w:val="18"/>
          <w:szCs w:val="18"/>
        </w:rPr>
        <w:t>Changes in revision R02 compared to R01:</w:t>
      </w:r>
    </w:p>
    <w:p w:rsidR="00726B56" w:rsidRPr="00726B56" w:rsidRDefault="00726B56" w:rsidP="00726B56">
      <w:pPr>
        <w:pStyle w:val="Liststycke"/>
        <w:numPr>
          <w:ilvl w:val="0"/>
          <w:numId w:val="10"/>
        </w:numPr>
        <w:tabs>
          <w:tab w:val="left" w:pos="0"/>
          <w:tab w:val="left" w:pos="426"/>
          <w:tab w:val="left" w:pos="3024"/>
          <w:tab w:val="left" w:pos="4284"/>
          <w:tab w:val="left" w:pos="5760"/>
          <w:tab w:val="center" w:pos="8789"/>
        </w:tabs>
        <w:suppressAutoHyphens/>
        <w:jc w:val="both"/>
        <w:rPr>
          <w:rFonts w:ascii="Arial" w:hAnsi="Arial" w:cs="Arial"/>
          <w:spacing w:val="-3"/>
          <w:sz w:val="18"/>
          <w:szCs w:val="18"/>
          <w:lang w:val="en-US"/>
        </w:rPr>
      </w:pPr>
      <w:r w:rsidRPr="00726B56">
        <w:rPr>
          <w:rFonts w:ascii="Arial" w:hAnsi="Arial" w:cs="Arial"/>
          <w:spacing w:val="-3"/>
          <w:sz w:val="18"/>
          <w:szCs w:val="18"/>
          <w:lang w:val="en-US"/>
        </w:rPr>
        <w:t xml:space="preserve">Primer mix 17 does not amplify the DRB1*16:05:01-16:05:02 and 16:07 alleles. This has been corrected in the </w:t>
      </w:r>
      <w:r w:rsidRPr="00726B56">
        <w:rPr>
          <w:rFonts w:ascii="Arial" w:hAnsi="Arial" w:cs="Arial"/>
          <w:sz w:val="18"/>
          <w:szCs w:val="18"/>
        </w:rPr>
        <w:t>Specificity and Interpretation Tables.</w:t>
      </w:r>
    </w:p>
    <w:p w:rsidR="008B5514" w:rsidRPr="008B5514" w:rsidRDefault="008B5514" w:rsidP="008B5514">
      <w:pPr>
        <w:pStyle w:val="Rubrik"/>
        <w:jc w:val="both"/>
        <w:rPr>
          <w:b w:val="0"/>
          <w:sz w:val="18"/>
          <w:szCs w:val="18"/>
        </w:rPr>
      </w:pPr>
      <w:r w:rsidRPr="008B5514">
        <w:rPr>
          <w:b w:val="0"/>
          <w:sz w:val="18"/>
          <w:szCs w:val="18"/>
        </w:rPr>
        <w:t>Change in revision R03 compared to R02:</w:t>
      </w:r>
    </w:p>
    <w:p w:rsidR="008B5514" w:rsidRPr="008B5514" w:rsidRDefault="008B5514" w:rsidP="008B5514">
      <w:pPr>
        <w:pStyle w:val="Rubrik"/>
        <w:numPr>
          <w:ilvl w:val="0"/>
          <w:numId w:val="11"/>
        </w:numPr>
        <w:tabs>
          <w:tab w:val="clear" w:pos="720"/>
          <w:tab w:val="num" w:pos="426"/>
          <w:tab w:val="center" w:pos="709"/>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ind w:left="709" w:hanging="283"/>
        <w:jc w:val="both"/>
        <w:rPr>
          <w:b w:val="0"/>
          <w:sz w:val="18"/>
          <w:szCs w:val="18"/>
        </w:rPr>
      </w:pPr>
      <w:r w:rsidRPr="008B5514">
        <w:rPr>
          <w:b w:val="0"/>
          <w:sz w:val="18"/>
          <w:szCs w:val="18"/>
        </w:rPr>
        <w:t>Primer mix 20 does not amplify the DRB1*14:137N and 14:152N alleles.</w:t>
      </w:r>
      <w:r w:rsidRPr="008B5514">
        <w:rPr>
          <w:rFonts w:cs="Arial"/>
          <w:b w:val="0"/>
          <w:sz w:val="18"/>
          <w:szCs w:val="18"/>
        </w:rPr>
        <w:t xml:space="preserve"> Primer mix 29 does not amplify the DRB1*14:137N allele. This has been corrected in the </w:t>
      </w:r>
      <w:r w:rsidRPr="008B5514">
        <w:rPr>
          <w:b w:val="0"/>
          <w:sz w:val="18"/>
          <w:szCs w:val="18"/>
        </w:rPr>
        <w:t xml:space="preserve">Specificity and Interpretation Tables. </w:t>
      </w:r>
    </w:p>
    <w:p w:rsidR="00FF3445" w:rsidRPr="00726B56" w:rsidRDefault="00FF3445" w:rsidP="00FF3445">
      <w:pPr>
        <w:tabs>
          <w:tab w:val="left" w:pos="284"/>
          <w:tab w:val="left" w:pos="426"/>
          <w:tab w:val="center" w:pos="2304"/>
          <w:tab w:val="center" w:pos="3312"/>
          <w:tab w:val="center" w:pos="4320"/>
          <w:tab w:val="center" w:pos="5328"/>
          <w:tab w:val="center" w:pos="6336"/>
          <w:tab w:val="center" w:pos="7344"/>
          <w:tab w:val="center" w:pos="8352"/>
          <w:tab w:val="center" w:pos="9360"/>
          <w:tab w:val="center" w:pos="10368"/>
          <w:tab w:val="center" w:pos="11376"/>
          <w:tab w:val="center" w:pos="12384"/>
          <w:tab w:val="center" w:pos="13392"/>
          <w:tab w:val="center" w:pos="13680"/>
          <w:tab w:val="center" w:pos="14400"/>
          <w:tab w:val="center" w:pos="15120"/>
        </w:tabs>
        <w:jc w:val="both"/>
        <w:rPr>
          <w:b/>
          <w:sz w:val="18"/>
          <w:szCs w:val="18"/>
        </w:rPr>
      </w:pPr>
    </w:p>
    <w:sectPr w:rsidR="00FF3445" w:rsidRPr="00726B56" w:rsidSect="00512A55">
      <w:headerReference w:type="default" r:id="rId27"/>
      <w:footerReference w:type="default" r:id="rId28"/>
      <w:pgSz w:w="11907" w:h="16840" w:code="9"/>
      <w:pgMar w:top="1701" w:right="1134" w:bottom="1701" w:left="851" w:header="584"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B00" w:rsidRDefault="00E81B00">
      <w:r>
        <w:separator/>
      </w:r>
    </w:p>
  </w:endnote>
  <w:endnote w:type="continuationSeparator" w:id="0">
    <w:p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Pr="00060351" w:rsidRDefault="00D32866" w:rsidP="00BD04A7">
    <w:pPr>
      <w:pStyle w:val="Sidfot"/>
      <w:tabs>
        <w:tab w:val="clear" w:pos="4153"/>
        <w:tab w:val="clear" w:pos="8306"/>
        <w:tab w:val="center" w:pos="5103"/>
        <w:tab w:val="right" w:pos="10206"/>
      </w:tabs>
      <w:ind w:right="360"/>
      <w:rPr>
        <w:rFonts w:ascii="Arial" w:hAnsi="Arial"/>
        <w:lang w:val="en-US"/>
      </w:rPr>
    </w:pPr>
    <w:proofErr w:type="spellStart"/>
    <w:r w:rsidRPr="00060351">
      <w:rPr>
        <w:rFonts w:ascii="Arial" w:hAnsi="Arial" w:cs="Arial"/>
        <w:i/>
        <w:lang w:val="en-US"/>
      </w:rPr>
      <w:t>Olerup</w:t>
    </w:r>
    <w:proofErr w:type="spellEnd"/>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D32866" w:rsidRPr="00E61910" w:rsidRDefault="00D32866"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D32866" w:rsidRPr="00AA240A" w:rsidRDefault="00D32866"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D32866" w:rsidRPr="00A6082E" w:rsidRDefault="00D32866"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7C2A06">
      <w:rPr>
        <w:rFonts w:ascii="Arial" w:hAnsi="Arial"/>
        <w:noProof/>
      </w:rPr>
      <w:t>3</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7C2A06">
      <w:rPr>
        <w:rFonts w:ascii="Arial" w:hAnsi="Arial"/>
        <w:noProof/>
      </w:rPr>
      <w:t>12</w:t>
    </w:r>
    <w:r w:rsidRPr="00272610">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Pr="00060351" w:rsidRDefault="00D32866" w:rsidP="00BD04A7">
    <w:pPr>
      <w:pStyle w:val="Sidfot"/>
      <w:tabs>
        <w:tab w:val="clear" w:pos="4153"/>
        <w:tab w:val="clear" w:pos="8306"/>
        <w:tab w:val="center" w:pos="5103"/>
        <w:tab w:val="right" w:pos="10206"/>
      </w:tabs>
      <w:ind w:right="360"/>
      <w:rPr>
        <w:rFonts w:ascii="Arial" w:hAnsi="Arial"/>
        <w:lang w:val="en-US"/>
      </w:rPr>
    </w:pPr>
    <w:proofErr w:type="spellStart"/>
    <w:r w:rsidRPr="00060351">
      <w:rPr>
        <w:rFonts w:ascii="Arial" w:hAnsi="Arial" w:cs="Arial"/>
        <w:i/>
        <w:lang w:val="en-US"/>
      </w:rPr>
      <w:t>Olerup</w:t>
    </w:r>
    <w:proofErr w:type="spellEnd"/>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D32866" w:rsidRPr="00E61910" w:rsidRDefault="00D32866"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D32866" w:rsidRPr="00AA240A" w:rsidRDefault="00D32866"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D32866" w:rsidRPr="00A6082E" w:rsidRDefault="00D32866"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7C2A06">
      <w:rPr>
        <w:rFonts w:ascii="Arial" w:hAnsi="Arial"/>
        <w:noProof/>
      </w:rPr>
      <w:t>12</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7C2A06">
      <w:rPr>
        <w:rFonts w:ascii="Arial" w:hAnsi="Arial"/>
        <w:noProof/>
      </w:rPr>
      <w:t>12</w:t>
    </w:r>
    <w:r w:rsidRPr="00272610">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B00" w:rsidRDefault="00E81B00">
      <w:r>
        <w:separator/>
      </w:r>
    </w:p>
  </w:footnote>
  <w:footnote w:type="continuationSeparator" w:id="0">
    <w:p w:rsidR="00E81B00" w:rsidRDefault="00E81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D32866" w:rsidRDefault="00D32866"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Pr="00C13288" w:rsidRDefault="008B5514" w:rsidP="00194442">
    <w:r w:rsidRPr="005B3919">
      <w:rPr>
        <w:noProof/>
        <w:lang w:val="sv-SE" w:eastAsia="sv-SE"/>
      </w:rPr>
      <w:drawing>
        <wp:anchor distT="0" distB="0" distL="114300" distR="114300" simplePos="0" relativeHeight="251662336" behindDoc="0" locked="0" layoutInCell="1" allowOverlap="1" wp14:anchorId="165A2AD8" wp14:editId="1C2A6C99">
          <wp:simplePos x="0" y="0"/>
          <wp:positionH relativeFrom="margin">
            <wp:posOffset>-94615</wp:posOffset>
          </wp:positionH>
          <wp:positionV relativeFrom="paragraph">
            <wp:posOffset>-34129</wp:posOffset>
          </wp:positionV>
          <wp:extent cx="1269365" cy="173355"/>
          <wp:effectExtent l="0" t="0" r="6985" b="0"/>
          <wp:wrapSquare wrapText="bothSides"/>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C1728D"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2E74B304" wp14:editId="4E04677C">
              <wp:simplePos x="0" y="0"/>
              <wp:positionH relativeFrom="column">
                <wp:posOffset>4813935</wp:posOffset>
              </wp:positionH>
              <wp:positionV relativeFrom="paragraph">
                <wp:posOffset>-21590</wp:posOffset>
              </wp:positionV>
              <wp:extent cx="1713230" cy="4953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D32866" w:rsidRPr="00AE65CF" w:rsidRDefault="00D32866">
                          <w:pPr>
                            <w:rPr>
                              <w:rFonts w:ascii="Arial" w:hAnsi="Arial" w:cs="Arial"/>
                              <w:sz w:val="18"/>
                              <w:szCs w:val="18"/>
                            </w:rPr>
                          </w:pPr>
                          <w:r w:rsidRPr="00AE65CF">
                            <w:rPr>
                              <w:rFonts w:ascii="Arial" w:hAnsi="Arial" w:cs="Arial"/>
                              <w:sz w:val="18"/>
                              <w:szCs w:val="18"/>
                            </w:rPr>
                            <w:t xml:space="preserve">Visit </w:t>
                          </w:r>
                          <w:hyperlink r:id="rId2"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4B304" id="_x0000_t202" coordsize="21600,21600" o:spt="202" path="m,l,21600r21600,l21600,xe">
              <v:stroke joinstyle="miter"/>
              <v:path gradientshapeok="t" o:connecttype="rect"/>
            </v:shapetype>
            <v:shape id="Text Box 11" o:spid="_x0000_s1026" type="#_x0000_t202" style="position:absolute;margin-left:379.05pt;margin-top:-1.7pt;width:134.9pt;height:3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">
              <v:textbox style="mso-fit-shape-to-text:t">
                <w:txbxContent>
                  <w:p w:rsidR="00D32866" w:rsidRPr="00AE65CF" w:rsidRDefault="00D32866">
                    <w:pPr>
                      <w:rPr>
                        <w:rFonts w:ascii="Arial" w:hAnsi="Arial" w:cs="Arial"/>
                        <w:sz w:val="18"/>
                        <w:szCs w:val="18"/>
                      </w:rPr>
                    </w:pPr>
                    <w:r w:rsidRPr="00AE65CF">
                      <w:rPr>
                        <w:rFonts w:ascii="Arial" w:hAnsi="Arial" w:cs="Arial"/>
                        <w:sz w:val="18"/>
                        <w:szCs w:val="18"/>
                      </w:rPr>
                      <w:t xml:space="preserve">Visit </w:t>
                    </w:r>
                    <w:hyperlink r:id="rId3"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194442">
      <w:rPr>
        <w:rFonts w:ascii="Arial" w:hAnsi="Arial" w:cs="Arial"/>
        <w:b/>
        <w:sz w:val="20"/>
        <w:szCs w:val="20"/>
      </w:rPr>
      <w:t xml:space="preserve">                                 </w:t>
    </w:r>
    <w:r>
      <w:rPr>
        <w:rFonts w:ascii="Arial" w:hAnsi="Arial" w:cs="Arial"/>
        <w:b/>
        <w:sz w:val="20"/>
        <w:szCs w:val="20"/>
      </w:rPr>
      <w:t xml:space="preserve">    </w:t>
    </w:r>
    <w:r w:rsidR="00194442">
      <w:rPr>
        <w:rFonts w:ascii="Arial" w:hAnsi="Arial" w:cs="Arial"/>
        <w:b/>
        <w:sz w:val="20"/>
        <w:szCs w:val="20"/>
      </w:rPr>
      <w:t xml:space="preserve"> </w:t>
    </w:r>
    <w:r w:rsidR="00D32866" w:rsidRPr="00EB57FC">
      <w:rPr>
        <w:rFonts w:ascii="Arial" w:hAnsi="Arial" w:cs="Arial"/>
        <w:b/>
        <w:sz w:val="20"/>
        <w:szCs w:val="20"/>
      </w:rPr>
      <w:t>DQ-DR</w:t>
    </w:r>
    <w:r w:rsidR="00D32866" w:rsidRPr="00EB57FC">
      <w:rPr>
        <w:rFonts w:ascii="Arial" w:hAnsi="Arial"/>
        <w:b/>
        <w:sz w:val="20"/>
        <w:szCs w:val="20"/>
      </w:rPr>
      <w:t xml:space="preserve"> </w:t>
    </w:r>
    <w:proofErr w:type="spellStart"/>
    <w:r w:rsidR="00D32866" w:rsidRPr="00EB57FC">
      <w:rPr>
        <w:rFonts w:ascii="Arial" w:hAnsi="Arial"/>
        <w:b/>
        <w:sz w:val="20"/>
        <w:szCs w:val="20"/>
      </w:rPr>
      <w:t>Combi</w:t>
    </w:r>
    <w:proofErr w:type="spellEnd"/>
    <w:r w:rsidR="00D32866" w:rsidRPr="00EB57FC">
      <w:rPr>
        <w:rFonts w:ascii="Arial" w:hAnsi="Arial"/>
        <w:b/>
        <w:sz w:val="20"/>
        <w:szCs w:val="20"/>
      </w:rPr>
      <w:t xml:space="preserve"> Tray</w:t>
    </w:r>
  </w:p>
  <w:p w:rsidR="00D32866" w:rsidRPr="00C13288" w:rsidRDefault="008B5514"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September</w:t>
    </w:r>
    <w:r w:rsidR="009263CB">
      <w:rPr>
        <w:rFonts w:ascii="Arial" w:hAnsi="Arial" w:cs="Arial"/>
        <w:sz w:val="20"/>
        <w:szCs w:val="20"/>
      </w:rPr>
      <w:t xml:space="preserve"> 201</w:t>
    </w:r>
    <w:r w:rsidR="00885E51">
      <w:rPr>
        <w:rFonts w:ascii="Arial" w:hAnsi="Arial" w:cs="Arial"/>
        <w:sz w:val="20"/>
        <w:szCs w:val="20"/>
      </w:rPr>
      <w:t>7</w:t>
    </w:r>
    <w:r w:rsidR="00D32866" w:rsidRPr="00C13288">
      <w:rPr>
        <w:rFonts w:ascii="Arial" w:hAnsi="Arial" w:cs="Arial"/>
        <w:b/>
        <w:sz w:val="20"/>
        <w:szCs w:val="20"/>
      </w:rPr>
      <w:tab/>
      <w:t>101.704-48/12 – 48u/12u</w:t>
    </w:r>
  </w:p>
  <w:p w:rsidR="00D32866" w:rsidRPr="00C13288" w:rsidRDefault="00D32866"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8B5514">
      <w:rPr>
        <w:rFonts w:ascii="Arial" w:hAnsi="Arial" w:cs="Arial"/>
        <w:sz w:val="20"/>
        <w:szCs w:val="20"/>
      </w:rPr>
      <w:t>3</w:t>
    </w:r>
    <w:r w:rsidRPr="00C13288">
      <w:rPr>
        <w:rFonts w:ascii="Arial" w:hAnsi="Arial" w:cs="Arial"/>
        <w:b/>
        <w:sz w:val="20"/>
        <w:szCs w:val="20"/>
      </w:rPr>
      <w:t xml:space="preserve">                                                                 </w:t>
    </w:r>
    <w:r w:rsidR="00194442">
      <w:rPr>
        <w:rFonts w:ascii="Arial" w:hAnsi="Arial" w:cs="Arial"/>
        <w:b/>
        <w:sz w:val="20"/>
        <w:szCs w:val="20"/>
      </w:rPr>
      <w:t>1E8</w:t>
    </w:r>
    <w:r w:rsidRPr="00C13288">
      <w:rPr>
        <w:rFonts w:ascii="Arial" w:hAnsi="Arial" w:cs="Arial"/>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D32866" w:rsidRDefault="00D32866" w:rsidP="00F157DD">
    <w:pPr>
      <w:pStyle w:val="Sidhuvu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66" w:rsidRPr="00C13288" w:rsidRDefault="008B5514" w:rsidP="002400E5">
    <w:r w:rsidRPr="005B3919">
      <w:rPr>
        <w:noProof/>
        <w:lang w:val="sv-SE" w:eastAsia="sv-SE"/>
      </w:rPr>
      <w:drawing>
        <wp:anchor distT="0" distB="0" distL="114300" distR="114300" simplePos="0" relativeHeight="251664384" behindDoc="0" locked="0" layoutInCell="1" allowOverlap="1" wp14:anchorId="12196044" wp14:editId="728ECDB1">
          <wp:simplePos x="0" y="0"/>
          <wp:positionH relativeFrom="margin">
            <wp:posOffset>-135890</wp:posOffset>
          </wp:positionH>
          <wp:positionV relativeFrom="paragraph">
            <wp:posOffset>-32224</wp:posOffset>
          </wp:positionV>
          <wp:extent cx="1269365" cy="173355"/>
          <wp:effectExtent l="0" t="0" r="6985"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173355"/>
                  </a:xfrm>
                  <a:prstGeom prst="rect">
                    <a:avLst/>
                  </a:prstGeom>
                </pic:spPr>
              </pic:pic>
            </a:graphicData>
          </a:graphic>
          <wp14:sizeRelH relativeFrom="margin">
            <wp14:pctWidth>0</wp14:pctWidth>
          </wp14:sizeRelH>
          <wp14:sizeRelV relativeFrom="margin">
            <wp14:pctHeight>0</wp14:pctHeight>
          </wp14:sizeRelV>
        </wp:anchor>
      </w:drawing>
    </w:r>
    <w:r w:rsidR="00C1728D">
      <w:rPr>
        <w:noProof/>
        <w:lang w:val="sv-SE" w:eastAsia="sv-SE"/>
      </w:rPr>
      <mc:AlternateContent>
        <mc:Choice Requires="wps">
          <w:drawing>
            <wp:anchor distT="0" distB="0" distL="114300" distR="114300" simplePos="0" relativeHeight="251660288" behindDoc="0" locked="0" layoutInCell="1" allowOverlap="1" wp14:anchorId="49830564" wp14:editId="42729722">
              <wp:simplePos x="0" y="0"/>
              <wp:positionH relativeFrom="column">
                <wp:posOffset>1212215</wp:posOffset>
              </wp:positionH>
              <wp:positionV relativeFrom="paragraph">
                <wp:posOffset>-140335</wp:posOffset>
              </wp:positionV>
              <wp:extent cx="288290" cy="300990"/>
              <wp:effectExtent l="0" t="0" r="0" b="0"/>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300990"/>
                      </a:xfrm>
                      <a:prstGeom prst="rect">
                        <a:avLst/>
                      </a:prstGeom>
                    </wps:spPr>
                    <wps:txbx>
                      <w:txbxContent>
                        <w:p w:rsidR="00D32866" w:rsidRPr="00F66008" w:rsidRDefault="00D32866" w:rsidP="005F150D">
                          <w:pPr>
                            <w:pStyle w:val="Normalwebb"/>
                            <w:spacing w:before="0" w:beforeAutospacing="0" w:after="0" w:afterAutospacing="0"/>
                            <w:rPr>
                              <w:rFonts w:ascii="Arial" w:hAnsi="Arial" w:cs="Arial"/>
                              <w:sz w:val="16"/>
                              <w:szCs w:val="16"/>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49830564" id="Rektangel 2" o:spid="_x0000_s1027" style="position:absolute;margin-left:95.45pt;margin-top:-11.05pt;width:22.7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" filled="f" stroked="f">
              <v:path arrowok="t"/>
              <v:textbox style="mso-fit-shape-to-text:t">
                <w:txbxContent>
                  <w:p w:rsidR="00D32866" w:rsidRPr="00F66008" w:rsidRDefault="00D32866" w:rsidP="005F150D">
                    <w:pPr>
                      <w:pStyle w:val="Normalwebb"/>
                      <w:spacing w:before="0" w:beforeAutospacing="0" w:after="0" w:afterAutospacing="0"/>
                      <w:rPr>
                        <w:rFonts w:ascii="Arial" w:hAnsi="Arial" w:cs="Arial"/>
                        <w:sz w:val="16"/>
                        <w:szCs w:val="16"/>
                      </w:rPr>
                    </w:pPr>
                  </w:p>
                </w:txbxContent>
              </v:textbox>
            </v:rect>
          </w:pict>
        </mc:Fallback>
      </mc:AlternateContent>
    </w:r>
    <w:r w:rsidR="00C1728D" w:rsidRPr="00AE65CF">
      <w:rPr>
        <w:rFonts w:ascii="Arial" w:hAnsi="Arial" w:cs="Arial"/>
        <w:noProof/>
        <w:sz w:val="20"/>
        <w:szCs w:val="20"/>
        <w:lang w:val="sv-SE" w:eastAsia="sv-SE"/>
      </w:rPr>
      <mc:AlternateContent>
        <mc:Choice Requires="wps">
          <w:drawing>
            <wp:anchor distT="0" distB="0" distL="114300" distR="114300" simplePos="0" relativeHeight="251658240" behindDoc="0" locked="0" layoutInCell="1" allowOverlap="1" wp14:anchorId="3FAA0C0C" wp14:editId="799D0CD6">
              <wp:simplePos x="0" y="0"/>
              <wp:positionH relativeFrom="column">
                <wp:posOffset>4813935</wp:posOffset>
              </wp:positionH>
              <wp:positionV relativeFrom="paragraph">
                <wp:posOffset>-21590</wp:posOffset>
              </wp:positionV>
              <wp:extent cx="1713230" cy="49530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D32866" w:rsidRPr="00AE65CF" w:rsidRDefault="00D32866">
                          <w:pPr>
                            <w:rPr>
                              <w:rFonts w:ascii="Arial" w:hAnsi="Arial" w:cs="Arial"/>
                              <w:sz w:val="18"/>
                              <w:szCs w:val="18"/>
                            </w:rPr>
                          </w:pPr>
                          <w:r w:rsidRPr="00AE65CF">
                            <w:rPr>
                              <w:rFonts w:ascii="Arial" w:hAnsi="Arial" w:cs="Arial"/>
                              <w:sz w:val="18"/>
                              <w:szCs w:val="18"/>
                            </w:rPr>
                            <w:t xml:space="preserve">Visit </w:t>
                          </w:r>
                          <w:hyperlink r:id="rId2"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AA0C0C" id="_x0000_t202" coordsize="21600,21600" o:spt="202" path="m,l,21600r21600,l21600,xe">
              <v:stroke joinstyle="miter"/>
              <v:path gradientshapeok="t" o:connecttype="rect"/>
            </v:shapetype>
            <v:shape id="Text Box 19" o:spid="_x0000_s1028" type="#_x0000_t202" style="position:absolute;margin-left:379.05pt;margin-top:-1.7pt;width:134.9pt;height:3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">
              <v:textbox style="mso-fit-shape-to-text:t">
                <w:txbxContent>
                  <w:p w:rsidR="00D32866" w:rsidRPr="00AE65CF" w:rsidRDefault="00D32866">
                    <w:pPr>
                      <w:rPr>
                        <w:rFonts w:ascii="Arial" w:hAnsi="Arial" w:cs="Arial"/>
                        <w:sz w:val="18"/>
                        <w:szCs w:val="18"/>
                      </w:rPr>
                    </w:pPr>
                    <w:r w:rsidRPr="00AE65CF">
                      <w:rPr>
                        <w:rFonts w:ascii="Arial" w:hAnsi="Arial" w:cs="Arial"/>
                        <w:sz w:val="18"/>
                        <w:szCs w:val="18"/>
                      </w:rPr>
                      <w:t xml:space="preserve">Visit </w:t>
                    </w:r>
                    <w:hyperlink r:id="rId3" w:history="1">
                      <w:r w:rsidRPr="00AE65CF">
                        <w:rPr>
                          <w:rFonts w:ascii="Arial" w:hAnsi="Arial" w:cs="Arial"/>
                          <w:sz w:val="18"/>
                          <w:szCs w:val="18"/>
                          <w:u w:val="single"/>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2400E5">
      <w:rPr>
        <w:rFonts w:ascii="Arial" w:hAnsi="Arial" w:cs="Arial"/>
        <w:b/>
        <w:sz w:val="20"/>
        <w:szCs w:val="20"/>
      </w:rPr>
      <w:t xml:space="preserve">                                  </w:t>
    </w:r>
    <w:r w:rsidR="00D32866" w:rsidRPr="00EB57FC">
      <w:rPr>
        <w:rFonts w:ascii="Arial" w:hAnsi="Arial" w:cs="Arial"/>
        <w:b/>
        <w:sz w:val="20"/>
        <w:szCs w:val="20"/>
      </w:rPr>
      <w:t>DQ-DR</w:t>
    </w:r>
    <w:r w:rsidR="00D32866" w:rsidRPr="00EB57FC">
      <w:rPr>
        <w:rFonts w:ascii="Arial" w:hAnsi="Arial"/>
        <w:b/>
        <w:sz w:val="20"/>
        <w:szCs w:val="20"/>
      </w:rPr>
      <w:t xml:space="preserve"> </w:t>
    </w:r>
    <w:proofErr w:type="spellStart"/>
    <w:r w:rsidR="00D32866" w:rsidRPr="00EB57FC">
      <w:rPr>
        <w:rFonts w:ascii="Arial" w:hAnsi="Arial"/>
        <w:b/>
        <w:sz w:val="20"/>
        <w:szCs w:val="20"/>
      </w:rPr>
      <w:t>Combi</w:t>
    </w:r>
    <w:proofErr w:type="spellEnd"/>
    <w:r w:rsidR="00D32866" w:rsidRPr="00EB57FC">
      <w:rPr>
        <w:rFonts w:ascii="Arial" w:hAnsi="Arial"/>
        <w:b/>
        <w:sz w:val="20"/>
        <w:szCs w:val="20"/>
      </w:rPr>
      <w:t xml:space="preserve"> Tray</w:t>
    </w:r>
  </w:p>
  <w:p w:rsidR="00D32866" w:rsidRPr="00C13288" w:rsidRDefault="008B5514"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September</w:t>
    </w:r>
    <w:r w:rsidR="00D32866">
      <w:rPr>
        <w:rFonts w:ascii="Arial" w:hAnsi="Arial" w:cs="Arial"/>
        <w:sz w:val="20"/>
        <w:szCs w:val="20"/>
      </w:rPr>
      <w:t xml:space="preserve"> </w:t>
    </w:r>
    <w:r w:rsidR="00D32866" w:rsidRPr="00C13288">
      <w:rPr>
        <w:rFonts w:ascii="Arial" w:hAnsi="Arial" w:cs="Arial"/>
        <w:sz w:val="20"/>
        <w:szCs w:val="20"/>
      </w:rPr>
      <w:t>201</w:t>
    </w:r>
    <w:r w:rsidR="00885E51">
      <w:rPr>
        <w:rFonts w:ascii="Arial" w:hAnsi="Arial" w:cs="Arial"/>
        <w:sz w:val="20"/>
        <w:szCs w:val="20"/>
      </w:rPr>
      <w:t>7</w:t>
    </w:r>
    <w:r w:rsidR="00D32866" w:rsidRPr="00C13288">
      <w:rPr>
        <w:rFonts w:ascii="Arial" w:hAnsi="Arial" w:cs="Arial"/>
        <w:b/>
        <w:sz w:val="20"/>
        <w:szCs w:val="20"/>
      </w:rPr>
      <w:tab/>
      <w:t>101.704-48/12 – 48u/12u</w:t>
    </w:r>
  </w:p>
  <w:p w:rsidR="00D32866" w:rsidRDefault="00D32866"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8B5514">
      <w:rPr>
        <w:rFonts w:ascii="Arial" w:hAnsi="Arial" w:cs="Arial"/>
        <w:sz w:val="20"/>
        <w:szCs w:val="20"/>
      </w:rPr>
      <w:t>3</w:t>
    </w:r>
    <w:r w:rsidRPr="00C13288">
      <w:rPr>
        <w:rFonts w:ascii="Arial" w:hAnsi="Arial" w:cs="Arial"/>
        <w:b/>
        <w:sz w:val="20"/>
        <w:szCs w:val="20"/>
      </w:rPr>
      <w:t xml:space="preserve">                                                                 </w:t>
    </w:r>
    <w:r w:rsidR="0017606C">
      <w:rPr>
        <w:rFonts w:ascii="Arial" w:hAnsi="Arial" w:cs="Arial"/>
        <w:b/>
        <w:sz w:val="20"/>
        <w:szCs w:val="20"/>
      </w:rPr>
      <w:t>1E8</w:t>
    </w:r>
    <w:r w:rsidRPr="00C13288">
      <w:rPr>
        <w:rFonts w:ascii="Arial" w:hAnsi="Arial" w:cs="Arial"/>
        <w:b/>
        <w:sz w:val="20"/>
        <w:szCs w:val="20"/>
      </w:rPr>
      <w:t xml:space="preserve">        </w:t>
    </w:r>
  </w:p>
  <w:p w:rsidR="00D32866" w:rsidRPr="00C13288" w:rsidRDefault="00D32866" w:rsidP="0017681C">
    <w:pPr>
      <w:pStyle w:val="Sidhuvud"/>
      <w:tabs>
        <w:tab w:val="clear" w:pos="4536"/>
        <w:tab w:val="clear" w:pos="9072"/>
        <w:tab w:val="center" w:pos="4962"/>
        <w:tab w:val="right" w:pos="10206"/>
      </w:tabs>
      <w:ind w:right="360"/>
      <w:rPr>
        <w:rFonts w:ascii="Arial" w:hAnsi="Arial" w:cs="Arial"/>
        <w:b/>
        <w:sz w:val="20"/>
        <w:szCs w:val="20"/>
      </w:rPr>
    </w:pPr>
    <w:r>
      <w:rPr>
        <w:rFonts w:ascii="Arial" w:hAnsi="Arial" w:cs="Arial"/>
        <w:b/>
        <w:sz w:val="20"/>
        <w:szCs w:val="20"/>
      </w:rPr>
      <w:tab/>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4"/>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623"/>
    <w:rsid w:val="00001DAD"/>
    <w:rsid w:val="00003ADC"/>
    <w:rsid w:val="00012D10"/>
    <w:rsid w:val="00016C9A"/>
    <w:rsid w:val="00020579"/>
    <w:rsid w:val="00020EA2"/>
    <w:rsid w:val="000238A8"/>
    <w:rsid w:val="00024005"/>
    <w:rsid w:val="00024ADB"/>
    <w:rsid w:val="0003770A"/>
    <w:rsid w:val="00042288"/>
    <w:rsid w:val="0005415B"/>
    <w:rsid w:val="0005695D"/>
    <w:rsid w:val="00060484"/>
    <w:rsid w:val="00066A7F"/>
    <w:rsid w:val="00072FF0"/>
    <w:rsid w:val="00073075"/>
    <w:rsid w:val="00073EB6"/>
    <w:rsid w:val="00076077"/>
    <w:rsid w:val="00076D91"/>
    <w:rsid w:val="00085E00"/>
    <w:rsid w:val="0009679C"/>
    <w:rsid w:val="000A455D"/>
    <w:rsid w:val="000A5597"/>
    <w:rsid w:val="000B0C80"/>
    <w:rsid w:val="000C4F28"/>
    <w:rsid w:val="000C7605"/>
    <w:rsid w:val="000D469F"/>
    <w:rsid w:val="000D590A"/>
    <w:rsid w:val="000E6CA6"/>
    <w:rsid w:val="000F1A4F"/>
    <w:rsid w:val="000F3C01"/>
    <w:rsid w:val="000F6F6F"/>
    <w:rsid w:val="001010A3"/>
    <w:rsid w:val="001074EE"/>
    <w:rsid w:val="00107A57"/>
    <w:rsid w:val="00111884"/>
    <w:rsid w:val="00125072"/>
    <w:rsid w:val="0012600E"/>
    <w:rsid w:val="001269C6"/>
    <w:rsid w:val="001370C4"/>
    <w:rsid w:val="001450BC"/>
    <w:rsid w:val="00153748"/>
    <w:rsid w:val="001579AA"/>
    <w:rsid w:val="00162A62"/>
    <w:rsid w:val="00172075"/>
    <w:rsid w:val="0017606C"/>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6847"/>
    <w:rsid w:val="002009D7"/>
    <w:rsid w:val="002138B4"/>
    <w:rsid w:val="002144EA"/>
    <w:rsid w:val="00214D0C"/>
    <w:rsid w:val="0022226B"/>
    <w:rsid w:val="002258C5"/>
    <w:rsid w:val="0023036E"/>
    <w:rsid w:val="00236AD7"/>
    <w:rsid w:val="002377F4"/>
    <w:rsid w:val="002400E5"/>
    <w:rsid w:val="002414A5"/>
    <w:rsid w:val="00241585"/>
    <w:rsid w:val="00246EE3"/>
    <w:rsid w:val="00251C5E"/>
    <w:rsid w:val="00253280"/>
    <w:rsid w:val="00253E9E"/>
    <w:rsid w:val="00255414"/>
    <w:rsid w:val="002564FF"/>
    <w:rsid w:val="00260338"/>
    <w:rsid w:val="00265D25"/>
    <w:rsid w:val="002673DF"/>
    <w:rsid w:val="00272610"/>
    <w:rsid w:val="00277149"/>
    <w:rsid w:val="002809CA"/>
    <w:rsid w:val="00280F08"/>
    <w:rsid w:val="002842E6"/>
    <w:rsid w:val="00286797"/>
    <w:rsid w:val="00292BC5"/>
    <w:rsid w:val="002C23CF"/>
    <w:rsid w:val="002C2939"/>
    <w:rsid w:val="002D707A"/>
    <w:rsid w:val="002D73C8"/>
    <w:rsid w:val="002E4D12"/>
    <w:rsid w:val="002F3F1E"/>
    <w:rsid w:val="00302576"/>
    <w:rsid w:val="003065E2"/>
    <w:rsid w:val="00310290"/>
    <w:rsid w:val="00317D01"/>
    <w:rsid w:val="003201D4"/>
    <w:rsid w:val="00320C08"/>
    <w:rsid w:val="003304E1"/>
    <w:rsid w:val="00331CF6"/>
    <w:rsid w:val="003367B4"/>
    <w:rsid w:val="00337E3A"/>
    <w:rsid w:val="00342B31"/>
    <w:rsid w:val="00344836"/>
    <w:rsid w:val="00354386"/>
    <w:rsid w:val="00355AB0"/>
    <w:rsid w:val="00365D52"/>
    <w:rsid w:val="00367914"/>
    <w:rsid w:val="00373E47"/>
    <w:rsid w:val="00375239"/>
    <w:rsid w:val="00376026"/>
    <w:rsid w:val="00382BE4"/>
    <w:rsid w:val="0038376A"/>
    <w:rsid w:val="003A203F"/>
    <w:rsid w:val="003B06EF"/>
    <w:rsid w:val="003B5CFE"/>
    <w:rsid w:val="003B6C5B"/>
    <w:rsid w:val="003C0426"/>
    <w:rsid w:val="003C12B2"/>
    <w:rsid w:val="003C2DDF"/>
    <w:rsid w:val="003C4A12"/>
    <w:rsid w:val="003C4D9D"/>
    <w:rsid w:val="003C60D3"/>
    <w:rsid w:val="003D0837"/>
    <w:rsid w:val="003D0DEE"/>
    <w:rsid w:val="003D21F4"/>
    <w:rsid w:val="003D4E66"/>
    <w:rsid w:val="003D6E23"/>
    <w:rsid w:val="003E274F"/>
    <w:rsid w:val="003F27D0"/>
    <w:rsid w:val="003F2D05"/>
    <w:rsid w:val="00402C50"/>
    <w:rsid w:val="00403D59"/>
    <w:rsid w:val="00407899"/>
    <w:rsid w:val="00425BA6"/>
    <w:rsid w:val="004312ED"/>
    <w:rsid w:val="00435556"/>
    <w:rsid w:val="004359D6"/>
    <w:rsid w:val="00440FFA"/>
    <w:rsid w:val="004454BE"/>
    <w:rsid w:val="00450478"/>
    <w:rsid w:val="00452836"/>
    <w:rsid w:val="004637DE"/>
    <w:rsid w:val="00471F00"/>
    <w:rsid w:val="00477F5D"/>
    <w:rsid w:val="00481119"/>
    <w:rsid w:val="00493D14"/>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11D00"/>
    <w:rsid w:val="00512069"/>
    <w:rsid w:val="00512A55"/>
    <w:rsid w:val="00513A4B"/>
    <w:rsid w:val="00514F32"/>
    <w:rsid w:val="005158AD"/>
    <w:rsid w:val="00526BEB"/>
    <w:rsid w:val="00532C20"/>
    <w:rsid w:val="0055075C"/>
    <w:rsid w:val="005523D8"/>
    <w:rsid w:val="00553F26"/>
    <w:rsid w:val="0055676E"/>
    <w:rsid w:val="005658AC"/>
    <w:rsid w:val="00571E25"/>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439C"/>
    <w:rsid w:val="006479D6"/>
    <w:rsid w:val="00663171"/>
    <w:rsid w:val="00667291"/>
    <w:rsid w:val="0067407B"/>
    <w:rsid w:val="0068440A"/>
    <w:rsid w:val="00685A2B"/>
    <w:rsid w:val="00686988"/>
    <w:rsid w:val="00692F6C"/>
    <w:rsid w:val="00697080"/>
    <w:rsid w:val="006A2F3F"/>
    <w:rsid w:val="006B0D0E"/>
    <w:rsid w:val="006B3E1A"/>
    <w:rsid w:val="006B6103"/>
    <w:rsid w:val="006B6E3F"/>
    <w:rsid w:val="006B7107"/>
    <w:rsid w:val="006C4083"/>
    <w:rsid w:val="006C5A92"/>
    <w:rsid w:val="006C65C0"/>
    <w:rsid w:val="006C751F"/>
    <w:rsid w:val="006D4350"/>
    <w:rsid w:val="006D4950"/>
    <w:rsid w:val="006D6F17"/>
    <w:rsid w:val="006E33AB"/>
    <w:rsid w:val="006E7A32"/>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6E2D"/>
    <w:rsid w:val="00797833"/>
    <w:rsid w:val="007A1CE6"/>
    <w:rsid w:val="007A6755"/>
    <w:rsid w:val="007C0077"/>
    <w:rsid w:val="007C09C3"/>
    <w:rsid w:val="007C2A06"/>
    <w:rsid w:val="007D3A51"/>
    <w:rsid w:val="007D78ED"/>
    <w:rsid w:val="007E365B"/>
    <w:rsid w:val="007E6F3B"/>
    <w:rsid w:val="007E7A46"/>
    <w:rsid w:val="007F03B4"/>
    <w:rsid w:val="007F5242"/>
    <w:rsid w:val="00800303"/>
    <w:rsid w:val="008105B9"/>
    <w:rsid w:val="008111DA"/>
    <w:rsid w:val="00811EBA"/>
    <w:rsid w:val="0081448E"/>
    <w:rsid w:val="00814ED3"/>
    <w:rsid w:val="00815DE3"/>
    <w:rsid w:val="00835452"/>
    <w:rsid w:val="00836BEC"/>
    <w:rsid w:val="00846471"/>
    <w:rsid w:val="0087445A"/>
    <w:rsid w:val="0088058D"/>
    <w:rsid w:val="00885E51"/>
    <w:rsid w:val="008872EB"/>
    <w:rsid w:val="00891CFF"/>
    <w:rsid w:val="008A0749"/>
    <w:rsid w:val="008B5514"/>
    <w:rsid w:val="008B5C1A"/>
    <w:rsid w:val="008B674C"/>
    <w:rsid w:val="008C3A0F"/>
    <w:rsid w:val="008C3D8B"/>
    <w:rsid w:val="008F055B"/>
    <w:rsid w:val="008F068B"/>
    <w:rsid w:val="0091530B"/>
    <w:rsid w:val="00915333"/>
    <w:rsid w:val="00915467"/>
    <w:rsid w:val="00920DB9"/>
    <w:rsid w:val="009263CB"/>
    <w:rsid w:val="00933390"/>
    <w:rsid w:val="00940097"/>
    <w:rsid w:val="009456AE"/>
    <w:rsid w:val="00945B79"/>
    <w:rsid w:val="0094688B"/>
    <w:rsid w:val="00962992"/>
    <w:rsid w:val="00964130"/>
    <w:rsid w:val="00964437"/>
    <w:rsid w:val="00965212"/>
    <w:rsid w:val="00965933"/>
    <w:rsid w:val="00980262"/>
    <w:rsid w:val="009817BC"/>
    <w:rsid w:val="00986CCA"/>
    <w:rsid w:val="00994958"/>
    <w:rsid w:val="009A0BDC"/>
    <w:rsid w:val="009A45E4"/>
    <w:rsid w:val="009A5AD0"/>
    <w:rsid w:val="009A753B"/>
    <w:rsid w:val="009A7BDB"/>
    <w:rsid w:val="009B17B7"/>
    <w:rsid w:val="009C2C40"/>
    <w:rsid w:val="009D1AFA"/>
    <w:rsid w:val="009D4989"/>
    <w:rsid w:val="009D527B"/>
    <w:rsid w:val="009E146C"/>
    <w:rsid w:val="009E1C42"/>
    <w:rsid w:val="009E349D"/>
    <w:rsid w:val="009E6698"/>
    <w:rsid w:val="009E7AAE"/>
    <w:rsid w:val="009F00DE"/>
    <w:rsid w:val="00A00FC4"/>
    <w:rsid w:val="00A046AF"/>
    <w:rsid w:val="00A06E76"/>
    <w:rsid w:val="00A214BE"/>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771C"/>
    <w:rsid w:val="00B306EB"/>
    <w:rsid w:val="00B40077"/>
    <w:rsid w:val="00B45264"/>
    <w:rsid w:val="00B52EEB"/>
    <w:rsid w:val="00B57E1C"/>
    <w:rsid w:val="00B7221D"/>
    <w:rsid w:val="00B82B42"/>
    <w:rsid w:val="00B91F6C"/>
    <w:rsid w:val="00B94A46"/>
    <w:rsid w:val="00BA0EA1"/>
    <w:rsid w:val="00BA3B02"/>
    <w:rsid w:val="00BB6181"/>
    <w:rsid w:val="00BB6999"/>
    <w:rsid w:val="00BC1E5C"/>
    <w:rsid w:val="00BC41B2"/>
    <w:rsid w:val="00BC7505"/>
    <w:rsid w:val="00BD04A7"/>
    <w:rsid w:val="00BD09FD"/>
    <w:rsid w:val="00BD5505"/>
    <w:rsid w:val="00BE61F6"/>
    <w:rsid w:val="00C03BCB"/>
    <w:rsid w:val="00C06764"/>
    <w:rsid w:val="00C07A93"/>
    <w:rsid w:val="00C12E98"/>
    <w:rsid w:val="00C13288"/>
    <w:rsid w:val="00C1728D"/>
    <w:rsid w:val="00C17711"/>
    <w:rsid w:val="00C20306"/>
    <w:rsid w:val="00C35A12"/>
    <w:rsid w:val="00C42001"/>
    <w:rsid w:val="00C4480F"/>
    <w:rsid w:val="00C45423"/>
    <w:rsid w:val="00C46768"/>
    <w:rsid w:val="00C5100D"/>
    <w:rsid w:val="00C64B25"/>
    <w:rsid w:val="00C66DF6"/>
    <w:rsid w:val="00C7247F"/>
    <w:rsid w:val="00C76A11"/>
    <w:rsid w:val="00C808C5"/>
    <w:rsid w:val="00C90D9A"/>
    <w:rsid w:val="00C9103C"/>
    <w:rsid w:val="00C92C07"/>
    <w:rsid w:val="00C9542E"/>
    <w:rsid w:val="00C96752"/>
    <w:rsid w:val="00CA13EF"/>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B65"/>
    <w:rsid w:val="00D1193C"/>
    <w:rsid w:val="00D15949"/>
    <w:rsid w:val="00D16FD2"/>
    <w:rsid w:val="00D2006F"/>
    <w:rsid w:val="00D2686C"/>
    <w:rsid w:val="00D30ED2"/>
    <w:rsid w:val="00D32866"/>
    <w:rsid w:val="00D44288"/>
    <w:rsid w:val="00D447E1"/>
    <w:rsid w:val="00D47FAB"/>
    <w:rsid w:val="00D555CC"/>
    <w:rsid w:val="00D6181A"/>
    <w:rsid w:val="00D710F4"/>
    <w:rsid w:val="00D734BF"/>
    <w:rsid w:val="00D8697A"/>
    <w:rsid w:val="00D87A0B"/>
    <w:rsid w:val="00D94BFA"/>
    <w:rsid w:val="00DA0250"/>
    <w:rsid w:val="00DA7D8B"/>
    <w:rsid w:val="00DA7F6E"/>
    <w:rsid w:val="00DB4CD8"/>
    <w:rsid w:val="00DC16B2"/>
    <w:rsid w:val="00DC5A58"/>
    <w:rsid w:val="00DC6502"/>
    <w:rsid w:val="00DC7602"/>
    <w:rsid w:val="00DD2164"/>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C742E"/>
    <w:rsid w:val="00ED24B9"/>
    <w:rsid w:val="00ED2851"/>
    <w:rsid w:val="00ED6838"/>
    <w:rsid w:val="00ED7792"/>
    <w:rsid w:val="00EE4C0F"/>
    <w:rsid w:val="00EE637A"/>
    <w:rsid w:val="00EF0335"/>
    <w:rsid w:val="00EF4C26"/>
    <w:rsid w:val="00EF7511"/>
    <w:rsid w:val="00F07082"/>
    <w:rsid w:val="00F07DA2"/>
    <w:rsid w:val="00F136CF"/>
    <w:rsid w:val="00F13CFF"/>
    <w:rsid w:val="00F157DD"/>
    <w:rsid w:val="00F169CC"/>
    <w:rsid w:val="00F21DB6"/>
    <w:rsid w:val="00F24527"/>
    <w:rsid w:val="00F5280B"/>
    <w:rsid w:val="00F5608B"/>
    <w:rsid w:val="00F56B0A"/>
    <w:rsid w:val="00F57236"/>
    <w:rsid w:val="00F66008"/>
    <w:rsid w:val="00F66A04"/>
    <w:rsid w:val="00F70EE0"/>
    <w:rsid w:val="00F72135"/>
    <w:rsid w:val="00F76880"/>
    <w:rsid w:val="00F824B4"/>
    <w:rsid w:val="00F85859"/>
    <w:rsid w:val="00F86249"/>
    <w:rsid w:val="00FA2A88"/>
    <w:rsid w:val="00FB46B5"/>
    <w:rsid w:val="00FB46C6"/>
    <w:rsid w:val="00FB5D47"/>
    <w:rsid w:val="00FB69BE"/>
    <w:rsid w:val="00FB6E97"/>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hyperlink" Target="http://hla.alleles.org/alleles/deleted.html"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hyperlink" Target="http://www.ebi.ac.uk/imgt/hla"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10.emf"/><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olerup-ssp.com" TargetMode="External"/><Relationship Id="rId2" Type="http://schemas.openxmlformats.org/officeDocument/2006/relationships/hyperlink" Target="http://www.olerup-ssp.com"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hyperlink" Target="http://www.olerup-ssp.com" TargetMode="External"/><Relationship Id="rId2" Type="http://schemas.openxmlformats.org/officeDocument/2006/relationships/hyperlink" Target="http://www.olerup-ssp.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EC9F0-0EBD-49B0-A381-98A2EBC3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754</Words>
  <Characters>4477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5221</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5</cp:revision>
  <cp:lastPrinted>2016-12-15T11:23:00Z</cp:lastPrinted>
  <dcterms:created xsi:type="dcterms:W3CDTF">2017-09-24T10:29:00Z</dcterms:created>
  <dcterms:modified xsi:type="dcterms:W3CDTF">2017-09-26T11:30:00Z</dcterms:modified>
</cp:coreProperties>
</file>